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FFB6" w14:textId="77777777" w:rsidR="00515001" w:rsidRPr="00515001" w:rsidRDefault="00515001" w:rsidP="00515001">
      <w:pPr>
        <w:pStyle w:val="Eivli"/>
        <w:jc w:val="both"/>
        <w:rPr>
          <w:rFonts w:ascii="Times New Roman" w:hAnsi="Times New Roman" w:cs="Times New Roman"/>
          <w:b/>
          <w:bCs/>
          <w:sz w:val="40"/>
          <w:szCs w:val="32"/>
        </w:rPr>
      </w:pPr>
      <w:bookmarkStart w:id="0" w:name="_GoBack"/>
      <w:bookmarkEnd w:id="0"/>
      <w:r w:rsidRPr="00515001">
        <w:rPr>
          <w:rFonts w:ascii="Times New Roman" w:hAnsi="Times New Roman" w:cs="Times New Roman"/>
          <w:b/>
          <w:bCs/>
          <w:sz w:val="40"/>
          <w:szCs w:val="32"/>
        </w:rPr>
        <w:t xml:space="preserve">Public consultation on Interconnection agreement on </w:t>
      </w:r>
      <w:proofErr w:type="spellStart"/>
      <w:r w:rsidRPr="00515001">
        <w:rPr>
          <w:rFonts w:ascii="Times New Roman" w:hAnsi="Times New Roman" w:cs="Times New Roman"/>
          <w:b/>
          <w:bCs/>
          <w:sz w:val="40"/>
          <w:szCs w:val="32"/>
        </w:rPr>
        <w:t>Balticconnector</w:t>
      </w:r>
      <w:proofErr w:type="spellEnd"/>
      <w:r w:rsidRPr="00515001">
        <w:rPr>
          <w:rFonts w:ascii="Times New Roman" w:hAnsi="Times New Roman" w:cs="Times New Roman"/>
          <w:b/>
          <w:bCs/>
          <w:sz w:val="40"/>
          <w:szCs w:val="32"/>
        </w:rPr>
        <w:t xml:space="preserve">  </w:t>
      </w:r>
    </w:p>
    <w:p w14:paraId="2C6BB82B" w14:textId="77777777" w:rsidR="00515001" w:rsidRPr="00515001" w:rsidRDefault="00515001" w:rsidP="00515001">
      <w:pPr>
        <w:pStyle w:val="NormaaliWWW"/>
        <w:spacing w:before="0" w:beforeAutospacing="0" w:after="0" w:afterAutospacing="0"/>
        <w:jc w:val="both"/>
        <w:rPr>
          <w:rFonts w:ascii="Calibri" w:hAnsi="Calibri" w:cs="Calibri"/>
          <w:sz w:val="36"/>
          <w:szCs w:val="22"/>
        </w:rPr>
      </w:pPr>
      <w:r w:rsidRPr="00515001">
        <w:rPr>
          <w:rFonts w:ascii="Calibri" w:hAnsi="Calibri" w:cs="Calibri"/>
          <w:sz w:val="36"/>
          <w:szCs w:val="22"/>
        </w:rPr>
        <w:t> </w:t>
      </w:r>
    </w:p>
    <w:p w14:paraId="3B85154D" w14:textId="77777777" w:rsidR="00515001" w:rsidRPr="00630F8F" w:rsidRDefault="00515001" w:rsidP="00515001">
      <w:pPr>
        <w:pStyle w:val="NormaaliWWW"/>
        <w:spacing w:before="0" w:beforeAutospacing="0" w:after="0" w:afterAutospacing="0"/>
        <w:jc w:val="both"/>
        <w:rPr>
          <w:rFonts w:ascii="Calibri" w:hAnsi="Calibri" w:cs="Calibri"/>
          <w:sz w:val="32"/>
          <w:szCs w:val="22"/>
        </w:rPr>
      </w:pPr>
      <w:r w:rsidRPr="00630F8F">
        <w:rPr>
          <w:rFonts w:eastAsiaTheme="minorHAnsi"/>
          <w:b/>
          <w:bCs/>
          <w:sz w:val="36"/>
          <w:szCs w:val="32"/>
        </w:rPr>
        <w:t>Introduction</w:t>
      </w:r>
    </w:p>
    <w:p w14:paraId="7B8EEFFA" w14:textId="2A4E8306" w:rsidR="00515001" w:rsidRPr="00515001" w:rsidRDefault="00515001" w:rsidP="00515001">
      <w:pPr>
        <w:pStyle w:val="NormaaliWWW"/>
        <w:jc w:val="both"/>
        <w:rPr>
          <w:rFonts w:eastAsiaTheme="minorHAnsi"/>
          <w:sz w:val="22"/>
          <w:szCs w:val="22"/>
        </w:rPr>
      </w:pPr>
      <w:r w:rsidRPr="00515001">
        <w:rPr>
          <w:rFonts w:eastAsiaTheme="minorHAnsi"/>
          <w:sz w:val="22"/>
          <w:szCs w:val="22"/>
        </w:rPr>
        <w:t xml:space="preserve">Energy Authority of Finland and </w:t>
      </w:r>
      <w:proofErr w:type="spellStart"/>
      <w:r w:rsidRPr="00515001">
        <w:rPr>
          <w:rFonts w:eastAsiaTheme="minorHAnsi"/>
          <w:sz w:val="22"/>
          <w:szCs w:val="22"/>
        </w:rPr>
        <w:t>Elering</w:t>
      </w:r>
      <w:proofErr w:type="spellEnd"/>
      <w:r w:rsidRPr="00515001">
        <w:rPr>
          <w:rFonts w:eastAsiaTheme="minorHAnsi"/>
          <w:sz w:val="22"/>
          <w:szCs w:val="22"/>
        </w:rPr>
        <w:t xml:space="preserve"> AS invite all stakeholders to take part in the public consultation for the parts of the Interconnection agreement that are relevant for external stakeholders, mainly for network users (</w:t>
      </w:r>
      <w:r w:rsidR="002F4C53">
        <w:rPr>
          <w:rFonts w:eastAsiaTheme="minorHAnsi"/>
          <w:sz w:val="22"/>
          <w:szCs w:val="22"/>
        </w:rPr>
        <w:t>S</w:t>
      </w:r>
      <w:r w:rsidRPr="00515001">
        <w:rPr>
          <w:rFonts w:eastAsiaTheme="minorHAnsi"/>
          <w:sz w:val="22"/>
          <w:szCs w:val="22"/>
        </w:rPr>
        <w:t xml:space="preserve">hippers) based on INT NC article 4 section 1. Energy Authority of Finland will organize public consultation in Finland. Main parts identified necessary to go under public consultation include </w:t>
      </w:r>
      <w:r w:rsidRPr="00515001">
        <w:rPr>
          <w:rFonts w:eastAsiaTheme="minorHAnsi"/>
          <w:b/>
          <w:sz w:val="22"/>
          <w:szCs w:val="22"/>
        </w:rPr>
        <w:t>matching process, capacity allocation, exceptional event communication</w:t>
      </w:r>
      <w:r w:rsidRPr="00515001">
        <w:rPr>
          <w:rFonts w:eastAsiaTheme="minorHAnsi"/>
          <w:sz w:val="22"/>
          <w:szCs w:val="22"/>
        </w:rPr>
        <w:t xml:space="preserve">. Input is welcome from all the stakeholders. </w:t>
      </w:r>
    </w:p>
    <w:p w14:paraId="35995530" w14:textId="77777777" w:rsidR="00515001" w:rsidRPr="00630F8F" w:rsidRDefault="00515001" w:rsidP="00515001">
      <w:pPr>
        <w:pStyle w:val="NormaaliWWW"/>
        <w:jc w:val="both"/>
        <w:rPr>
          <w:rFonts w:eastAsiaTheme="minorHAnsi"/>
          <w:b/>
          <w:sz w:val="36"/>
          <w:szCs w:val="22"/>
        </w:rPr>
      </w:pPr>
      <w:r w:rsidRPr="00630F8F">
        <w:rPr>
          <w:rFonts w:eastAsiaTheme="minorHAnsi"/>
          <w:b/>
          <w:sz w:val="36"/>
          <w:szCs w:val="22"/>
        </w:rPr>
        <w:t>Definitions</w:t>
      </w:r>
    </w:p>
    <w:p w14:paraId="5665E695" w14:textId="77777777"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bCs/>
          <w:sz w:val="22"/>
        </w:rPr>
        <w:t xml:space="preserve">Double-sided Nomination </w:t>
      </w:r>
      <w:r w:rsidRPr="00515001">
        <w:rPr>
          <w:rFonts w:ascii="Times New Roman" w:hAnsi="Times New Roman" w:cs="Times New Roman"/>
          <w:bCs/>
          <w:sz w:val="22"/>
        </w:rPr>
        <w:t>means</w:t>
      </w:r>
      <w:r w:rsidRPr="00515001">
        <w:rPr>
          <w:rFonts w:ascii="Times New Roman" w:hAnsi="Times New Roman" w:cs="Times New Roman"/>
          <w:sz w:val="22"/>
        </w:rPr>
        <w:t xml:space="preserve"> nomination process in which both TSOs at the IP receive corresponding nominations.</w:t>
      </w:r>
    </w:p>
    <w:p w14:paraId="1E4BBB4C" w14:textId="77777777" w:rsidR="00515001" w:rsidRPr="00515001" w:rsidRDefault="00515001" w:rsidP="00515001">
      <w:pPr>
        <w:jc w:val="both"/>
        <w:rPr>
          <w:rFonts w:ascii="Times New Roman" w:hAnsi="Times New Roman" w:cs="Times New Roman"/>
          <w:bCs/>
          <w:sz w:val="22"/>
        </w:rPr>
      </w:pPr>
      <w:r w:rsidRPr="00515001">
        <w:rPr>
          <w:rFonts w:ascii="Times New Roman" w:hAnsi="Times New Roman" w:cs="Times New Roman"/>
          <w:b/>
          <w:bCs/>
          <w:sz w:val="22"/>
        </w:rPr>
        <w:t xml:space="preserve">EIC </w:t>
      </w:r>
      <w:r w:rsidRPr="00515001">
        <w:rPr>
          <w:rFonts w:ascii="Times New Roman" w:hAnsi="Times New Roman" w:cs="Times New Roman"/>
          <w:bCs/>
          <w:sz w:val="22"/>
        </w:rPr>
        <w:t>means Energy Identification Code.</w:t>
      </w:r>
    </w:p>
    <w:p w14:paraId="5A5D0BEE" w14:textId="77777777" w:rsidR="00515001" w:rsidRPr="00515001" w:rsidRDefault="00515001" w:rsidP="00515001">
      <w:pPr>
        <w:jc w:val="both"/>
        <w:rPr>
          <w:rFonts w:ascii="Times New Roman" w:hAnsi="Times New Roman" w:cs="Times New Roman"/>
          <w:b/>
          <w:bCs/>
          <w:sz w:val="22"/>
        </w:rPr>
      </w:pPr>
      <w:r w:rsidRPr="00515001">
        <w:rPr>
          <w:rFonts w:ascii="Times New Roman" w:hAnsi="Times New Roman" w:cs="Times New Roman"/>
          <w:b/>
          <w:bCs/>
          <w:sz w:val="22"/>
        </w:rPr>
        <w:t>Exceptional Event</w:t>
      </w:r>
      <w:r w:rsidRPr="00515001">
        <w:rPr>
          <w:rFonts w:ascii="Times New Roman" w:hAnsi="Times New Roman" w:cs="Times New Roman"/>
          <w:sz w:val="22"/>
        </w:rPr>
        <w:t> means any unplanned event that is not reasonably controllable or preventable and that may cause, for a limited period, capacity reductions, affecting thereby the quantity or quality of gas at a given interconnection point, with possible consequences on interactions between TSOs as well as between TSO and Shippers.</w:t>
      </w:r>
    </w:p>
    <w:p w14:paraId="3E9F8194" w14:textId="77777777" w:rsidR="00515001" w:rsidRPr="00515001" w:rsidRDefault="00515001" w:rsidP="00515001">
      <w:pPr>
        <w:jc w:val="both"/>
        <w:rPr>
          <w:rFonts w:ascii="Times New Roman" w:hAnsi="Times New Roman" w:cs="Times New Roman"/>
          <w:sz w:val="22"/>
          <w:shd w:val="clear" w:color="auto" w:fill="FFFFFF"/>
        </w:rPr>
      </w:pPr>
      <w:r w:rsidRPr="00515001">
        <w:rPr>
          <w:rFonts w:ascii="Times New Roman" w:hAnsi="Times New Roman" w:cs="Times New Roman"/>
          <w:b/>
          <w:bCs/>
          <w:sz w:val="22"/>
        </w:rPr>
        <w:t>Initiating TSO</w:t>
      </w:r>
      <w:r w:rsidRPr="00515001">
        <w:rPr>
          <w:rFonts w:ascii="Times New Roman" w:hAnsi="Times New Roman" w:cs="Times New Roman"/>
          <w:sz w:val="24"/>
          <w:szCs w:val="20"/>
        </w:rPr>
        <w:t xml:space="preserve"> </w:t>
      </w:r>
      <w:r w:rsidRPr="00515001">
        <w:rPr>
          <w:rFonts w:ascii="Times New Roman" w:hAnsi="Times New Roman" w:cs="Times New Roman"/>
          <w:sz w:val="22"/>
          <w:shd w:val="clear" w:color="auto" w:fill="FFFFFF"/>
        </w:rPr>
        <w:t>means the transmission system operator initiating the matching process by sending the necessary data to the matching transmission system operator by matching deadline.</w:t>
      </w:r>
    </w:p>
    <w:p w14:paraId="083AD59F" w14:textId="77777777"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bCs/>
          <w:sz w:val="22"/>
          <w:shd w:val="clear" w:color="auto" w:fill="FFFFFF"/>
        </w:rPr>
        <w:t>Interruption Process</w:t>
      </w:r>
      <w:r w:rsidRPr="00515001">
        <w:rPr>
          <w:rFonts w:ascii="Times New Roman" w:hAnsi="Times New Roman" w:cs="Times New Roman"/>
          <w:sz w:val="22"/>
          <w:shd w:val="clear" w:color="auto" w:fill="FFFFFF"/>
        </w:rPr>
        <w:t xml:space="preserve"> means process where the unexpected change of total technical capacity caused the need to interrupt confirmed quantities. </w:t>
      </w:r>
    </w:p>
    <w:p w14:paraId="5421F9D8" w14:textId="77777777"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bCs/>
          <w:sz w:val="22"/>
          <w:shd w:val="clear" w:color="auto" w:fill="FFFFFF"/>
        </w:rPr>
        <w:t>Lesser rule</w:t>
      </w:r>
      <w:r w:rsidRPr="00515001">
        <w:rPr>
          <w:rFonts w:ascii="Times New Roman" w:hAnsi="Times New Roman" w:cs="Times New Roman"/>
          <w:sz w:val="22"/>
          <w:shd w:val="clear" w:color="auto" w:fill="FFFFFF"/>
        </w:rPr>
        <w:t xml:space="preserve"> means processed quantity/capacity coordination rule, were final coordinated value is taken as minimum of received values. </w:t>
      </w:r>
    </w:p>
    <w:p w14:paraId="367ABF71" w14:textId="2853A7B2"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bCs/>
          <w:sz w:val="22"/>
        </w:rPr>
        <w:t>Matching Process</w:t>
      </w:r>
      <w:r w:rsidRPr="00515001">
        <w:rPr>
          <w:rFonts w:ascii="Times New Roman" w:hAnsi="Times New Roman" w:cs="Times New Roman"/>
          <w:sz w:val="22"/>
        </w:rPr>
        <w:t xml:space="preserve"> </w:t>
      </w:r>
      <w:r w:rsidRPr="00515001">
        <w:rPr>
          <w:rFonts w:ascii="Times New Roman" w:hAnsi="Times New Roman" w:cs="Times New Roman"/>
          <w:sz w:val="22"/>
          <w:shd w:val="clear" w:color="auto" w:fill="FFFFFF"/>
        </w:rPr>
        <w:t xml:space="preserve">is the process of comparing and aligning processed quantities of gas for </w:t>
      </w:r>
      <w:r w:rsidR="002F4C53">
        <w:rPr>
          <w:rFonts w:ascii="Times New Roman" w:hAnsi="Times New Roman" w:cs="Times New Roman"/>
          <w:sz w:val="22"/>
          <w:shd w:val="clear" w:color="auto" w:fill="FFFFFF"/>
        </w:rPr>
        <w:t>S</w:t>
      </w:r>
      <w:r w:rsidRPr="00515001">
        <w:rPr>
          <w:rFonts w:ascii="Times New Roman" w:hAnsi="Times New Roman" w:cs="Times New Roman"/>
          <w:sz w:val="22"/>
          <w:shd w:val="clear" w:color="auto" w:fill="FFFFFF"/>
        </w:rPr>
        <w:t xml:space="preserve">hippers at both sides of a specific interconnection point, which results in confirmed quantities for the </w:t>
      </w:r>
      <w:r w:rsidR="002F4C53">
        <w:rPr>
          <w:rFonts w:ascii="Times New Roman" w:hAnsi="Times New Roman" w:cs="Times New Roman"/>
          <w:sz w:val="22"/>
          <w:shd w:val="clear" w:color="auto" w:fill="FFFFFF"/>
        </w:rPr>
        <w:t>S</w:t>
      </w:r>
      <w:r w:rsidRPr="00515001">
        <w:rPr>
          <w:rFonts w:ascii="Times New Roman" w:hAnsi="Times New Roman" w:cs="Times New Roman"/>
          <w:sz w:val="22"/>
          <w:shd w:val="clear" w:color="auto" w:fill="FFFFFF"/>
        </w:rPr>
        <w:t>hippers.</w:t>
      </w:r>
      <w:r w:rsidRPr="00515001">
        <w:rPr>
          <w:rFonts w:ascii="Times New Roman" w:hAnsi="Times New Roman" w:cs="Times New Roman"/>
          <w:sz w:val="32"/>
          <w:szCs w:val="27"/>
          <w:shd w:val="clear" w:color="auto" w:fill="FFFFFF"/>
        </w:rPr>
        <w:t xml:space="preserve"> </w:t>
      </w:r>
      <w:r w:rsidRPr="00515001">
        <w:rPr>
          <w:rFonts w:ascii="Times New Roman" w:hAnsi="Times New Roman" w:cs="Times New Roman"/>
          <w:sz w:val="22"/>
        </w:rPr>
        <w:t xml:space="preserve"> </w:t>
      </w:r>
    </w:p>
    <w:p w14:paraId="1E0F2214" w14:textId="77777777"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bCs/>
          <w:sz w:val="22"/>
        </w:rPr>
        <w:t>Matching TSO</w:t>
      </w:r>
      <w:r w:rsidRPr="00515001">
        <w:rPr>
          <w:rFonts w:ascii="Times New Roman" w:hAnsi="Times New Roman" w:cs="Times New Roman"/>
          <w:sz w:val="22"/>
        </w:rPr>
        <w:t xml:space="preserve"> </w:t>
      </w:r>
      <w:r w:rsidRPr="00515001">
        <w:rPr>
          <w:rFonts w:ascii="Times New Roman" w:hAnsi="Times New Roman" w:cs="Times New Roman"/>
          <w:sz w:val="22"/>
          <w:shd w:val="clear" w:color="auto" w:fill="FFFFFF"/>
        </w:rPr>
        <w:t>means the transmission system operator performing the matching process and sending the result of the matching process to the initiating transmission system operator.</w:t>
      </w:r>
    </w:p>
    <w:p w14:paraId="459B0C71" w14:textId="77777777"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bCs/>
          <w:sz w:val="22"/>
        </w:rPr>
        <w:t xml:space="preserve">Shipper </w:t>
      </w:r>
      <w:r w:rsidRPr="00515001">
        <w:rPr>
          <w:rFonts w:ascii="Times New Roman" w:hAnsi="Times New Roman" w:cs="Times New Roman"/>
          <w:bCs/>
          <w:sz w:val="22"/>
        </w:rPr>
        <w:t>mean</w:t>
      </w:r>
      <w:r w:rsidRPr="00515001">
        <w:rPr>
          <w:rFonts w:ascii="Times New Roman" w:hAnsi="Times New Roman" w:cs="Times New Roman"/>
          <w:b/>
          <w:bCs/>
          <w:sz w:val="22"/>
        </w:rPr>
        <w:t>s</w:t>
      </w:r>
      <w:r w:rsidRPr="00515001">
        <w:rPr>
          <w:rFonts w:ascii="Times New Roman" w:hAnsi="Times New Roman" w:cs="Times New Roman"/>
          <w:sz w:val="22"/>
        </w:rPr>
        <w:t xml:space="preserve"> a market participant that has signed a Transmission Service Agreement with a Local TSO.</w:t>
      </w:r>
    </w:p>
    <w:p w14:paraId="68392736" w14:textId="77777777"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bCs/>
          <w:sz w:val="22"/>
        </w:rPr>
        <w:t>Nomination </w:t>
      </w:r>
      <w:r w:rsidRPr="00515001">
        <w:rPr>
          <w:rFonts w:ascii="Times New Roman" w:hAnsi="Times New Roman" w:cs="Times New Roman"/>
          <w:sz w:val="22"/>
        </w:rPr>
        <w:t>means the prior reporting by the Shipper to the transmission system operator of the actual flow that the Shipper wishes to inject into or withdraw from the system.</w:t>
      </w:r>
    </w:p>
    <w:p w14:paraId="73A22C7D" w14:textId="5232DF81" w:rsidR="00515001" w:rsidRPr="00515001" w:rsidRDefault="00515001" w:rsidP="00515001">
      <w:pPr>
        <w:jc w:val="both"/>
        <w:rPr>
          <w:rFonts w:ascii="Times New Roman" w:hAnsi="Times New Roman" w:cs="Times New Roman"/>
          <w:b/>
          <w:bCs/>
          <w:sz w:val="22"/>
        </w:rPr>
      </w:pPr>
      <w:r w:rsidRPr="00515001">
        <w:rPr>
          <w:rFonts w:ascii="Times New Roman" w:hAnsi="Times New Roman" w:cs="Times New Roman"/>
          <w:b/>
          <w:bCs/>
          <w:sz w:val="22"/>
        </w:rPr>
        <w:t xml:space="preserve">Accepted Nomination (processed quantity) </w:t>
      </w:r>
      <w:r w:rsidRPr="00515001">
        <w:rPr>
          <w:rFonts w:ascii="Times New Roman" w:hAnsi="Times New Roman" w:cs="Times New Roman"/>
          <w:sz w:val="22"/>
          <w:shd w:val="clear" w:color="auto" w:fill="FFFFFF"/>
        </w:rPr>
        <w:t xml:space="preserve">means the quantity of gas determined by TSOs which </w:t>
      </w:r>
      <w:proofErr w:type="gramStart"/>
      <w:r w:rsidRPr="00515001">
        <w:rPr>
          <w:rFonts w:ascii="Times New Roman" w:hAnsi="Times New Roman" w:cs="Times New Roman"/>
          <w:sz w:val="22"/>
          <w:shd w:val="clear" w:color="auto" w:fill="FFFFFF"/>
        </w:rPr>
        <w:t>takes into account</w:t>
      </w:r>
      <w:proofErr w:type="gramEnd"/>
      <w:r w:rsidRPr="00515001">
        <w:rPr>
          <w:rFonts w:ascii="Times New Roman" w:hAnsi="Times New Roman" w:cs="Times New Roman"/>
          <w:sz w:val="22"/>
          <w:shd w:val="clear" w:color="auto" w:fill="FFFFFF"/>
        </w:rPr>
        <w:t xml:space="preserve"> the </w:t>
      </w:r>
      <w:r w:rsidR="002F4C53">
        <w:rPr>
          <w:rFonts w:ascii="Times New Roman" w:hAnsi="Times New Roman" w:cs="Times New Roman"/>
          <w:sz w:val="22"/>
          <w:shd w:val="clear" w:color="auto" w:fill="FFFFFF"/>
        </w:rPr>
        <w:t>S</w:t>
      </w:r>
      <w:r w:rsidRPr="00515001">
        <w:rPr>
          <w:rFonts w:ascii="Times New Roman" w:hAnsi="Times New Roman" w:cs="Times New Roman"/>
          <w:sz w:val="22"/>
          <w:shd w:val="clear" w:color="auto" w:fill="FFFFFF"/>
        </w:rPr>
        <w:t>hipper's nomination or re-nomination and contractual provisions as defined under the relevant transmission (network) agreement and which is used as the basis for the matching process.</w:t>
      </w:r>
    </w:p>
    <w:p w14:paraId="2F91AA80" w14:textId="77777777" w:rsidR="00515001" w:rsidRPr="00515001" w:rsidRDefault="00515001" w:rsidP="00515001">
      <w:pPr>
        <w:jc w:val="both"/>
        <w:rPr>
          <w:rFonts w:ascii="Times New Roman" w:hAnsi="Times New Roman" w:cs="Times New Roman"/>
          <w:b/>
          <w:bCs/>
          <w:sz w:val="22"/>
        </w:rPr>
      </w:pPr>
      <w:proofErr w:type="spellStart"/>
      <w:r w:rsidRPr="00515001">
        <w:rPr>
          <w:rFonts w:ascii="Times New Roman" w:hAnsi="Times New Roman" w:cs="Times New Roman"/>
          <w:b/>
          <w:bCs/>
          <w:sz w:val="22"/>
        </w:rPr>
        <w:t>Renomination</w:t>
      </w:r>
      <w:proofErr w:type="spellEnd"/>
      <w:r w:rsidRPr="00515001">
        <w:rPr>
          <w:rFonts w:ascii="Times New Roman" w:hAnsi="Times New Roman" w:cs="Times New Roman"/>
          <w:b/>
          <w:bCs/>
          <w:sz w:val="22"/>
        </w:rPr>
        <w:t xml:space="preserve"> cycle </w:t>
      </w:r>
      <w:r w:rsidRPr="00515001">
        <w:rPr>
          <w:rFonts w:ascii="Times New Roman" w:hAnsi="Times New Roman" w:cs="Times New Roman"/>
          <w:sz w:val="22"/>
        </w:rPr>
        <w:t>means the process carried out by the transmission system operator in order to provide a Shipper with the message regarding the confirmed quantities following the receipt of a re-nomination.</w:t>
      </w:r>
    </w:p>
    <w:p w14:paraId="0246CA58" w14:textId="77777777" w:rsidR="00515001" w:rsidRPr="00515001" w:rsidRDefault="00515001" w:rsidP="00515001">
      <w:pPr>
        <w:jc w:val="both"/>
        <w:rPr>
          <w:rFonts w:ascii="Times New Roman" w:hAnsi="Times New Roman" w:cs="Times New Roman"/>
          <w:sz w:val="22"/>
        </w:rPr>
      </w:pPr>
      <w:proofErr w:type="spellStart"/>
      <w:r w:rsidRPr="00515001">
        <w:rPr>
          <w:rFonts w:ascii="Times New Roman" w:hAnsi="Times New Roman" w:cs="Times New Roman"/>
          <w:b/>
          <w:bCs/>
          <w:sz w:val="22"/>
        </w:rPr>
        <w:t>Renomination</w:t>
      </w:r>
      <w:proofErr w:type="spellEnd"/>
      <w:r w:rsidRPr="00515001">
        <w:rPr>
          <w:rFonts w:ascii="Times New Roman" w:hAnsi="Times New Roman" w:cs="Times New Roman"/>
          <w:sz w:val="22"/>
        </w:rPr>
        <w:t xml:space="preserve"> means the subsequent reporting of a corrected nomination.</w:t>
      </w:r>
    </w:p>
    <w:p w14:paraId="70CD3D46" w14:textId="77777777"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bCs/>
          <w:sz w:val="22"/>
        </w:rPr>
        <w:t xml:space="preserve">Confirmed Nomination </w:t>
      </w:r>
      <w:r w:rsidRPr="00515001">
        <w:rPr>
          <w:rFonts w:ascii="Times New Roman" w:hAnsi="Times New Roman" w:cs="Times New Roman"/>
          <w:bCs/>
          <w:sz w:val="22"/>
        </w:rPr>
        <w:t>(confirmed quantity)</w:t>
      </w:r>
      <w:r w:rsidRPr="00515001">
        <w:rPr>
          <w:rFonts w:ascii="Times New Roman" w:hAnsi="Times New Roman" w:cs="Times New Roman"/>
          <w:sz w:val="22"/>
        </w:rPr>
        <w:t xml:space="preserve"> is the quantity that has gone through TSO matching process and nominated quantity has been confirmed by both TSOs.</w:t>
      </w:r>
    </w:p>
    <w:p w14:paraId="0CB4A630" w14:textId="39D69F53" w:rsidR="00515001" w:rsidRPr="00515001" w:rsidRDefault="00515001" w:rsidP="00515001">
      <w:pPr>
        <w:jc w:val="both"/>
        <w:rPr>
          <w:rFonts w:ascii="Times New Roman" w:hAnsi="Times New Roman" w:cs="Times New Roman"/>
          <w:sz w:val="22"/>
        </w:rPr>
      </w:pPr>
      <w:r w:rsidRPr="00515001">
        <w:rPr>
          <w:rFonts w:ascii="Times New Roman" w:hAnsi="Times New Roman" w:cs="Times New Roman"/>
          <w:b/>
          <w:sz w:val="22"/>
        </w:rPr>
        <w:t xml:space="preserve">Technical </w:t>
      </w:r>
      <w:r w:rsidR="00DC3DBB">
        <w:rPr>
          <w:rFonts w:ascii="Times New Roman" w:hAnsi="Times New Roman" w:cs="Times New Roman"/>
          <w:b/>
          <w:sz w:val="22"/>
        </w:rPr>
        <w:t>C</w:t>
      </w:r>
      <w:r w:rsidRPr="00515001">
        <w:rPr>
          <w:rFonts w:ascii="Times New Roman" w:hAnsi="Times New Roman" w:cs="Times New Roman"/>
          <w:b/>
          <w:sz w:val="22"/>
        </w:rPr>
        <w:t xml:space="preserve">apacity </w:t>
      </w:r>
      <w:r w:rsidRPr="00515001">
        <w:rPr>
          <w:rFonts w:ascii="Times New Roman" w:hAnsi="Times New Roman" w:cs="Times New Roman"/>
          <w:sz w:val="22"/>
        </w:rPr>
        <w:t>means maximum fixed capacity that TSO can offer to transport at the interconnection point with consideration of the system integrity and the requirements of the system operation. Technical capacity is the freely assignable capacity (booked and still able to be booked).</w:t>
      </w:r>
    </w:p>
    <w:p w14:paraId="09583E4E" w14:textId="77777777" w:rsidR="00515001" w:rsidRPr="00515001" w:rsidRDefault="00515001" w:rsidP="00515001">
      <w:pPr>
        <w:pStyle w:val="NormaaliWWW"/>
        <w:jc w:val="both"/>
        <w:rPr>
          <w:rFonts w:eastAsiaTheme="minorHAnsi"/>
          <w:sz w:val="28"/>
          <w:szCs w:val="22"/>
        </w:rPr>
      </w:pPr>
    </w:p>
    <w:p w14:paraId="195AF906" w14:textId="77777777" w:rsidR="00515001" w:rsidRPr="00515001" w:rsidRDefault="00515001" w:rsidP="00515001">
      <w:pPr>
        <w:pStyle w:val="NormaaliWWW"/>
        <w:spacing w:before="0" w:beforeAutospacing="0" w:after="0" w:afterAutospacing="0"/>
        <w:jc w:val="both"/>
        <w:rPr>
          <w:rFonts w:ascii="Calibri" w:hAnsi="Calibri" w:cs="Calibri"/>
          <w:sz w:val="28"/>
          <w:szCs w:val="22"/>
        </w:rPr>
      </w:pPr>
    </w:p>
    <w:p w14:paraId="521027FB" w14:textId="62EFD4E8" w:rsidR="00515001" w:rsidRPr="00630F8F" w:rsidRDefault="00515001" w:rsidP="00515001">
      <w:pPr>
        <w:jc w:val="both"/>
        <w:rPr>
          <w:rFonts w:ascii="Times New Roman" w:hAnsi="Times New Roman" w:cs="Times New Roman"/>
          <w:b/>
          <w:bCs/>
          <w:sz w:val="36"/>
          <w:szCs w:val="32"/>
        </w:rPr>
      </w:pPr>
      <w:r w:rsidRPr="00630F8F">
        <w:rPr>
          <w:rFonts w:ascii="Times New Roman" w:hAnsi="Times New Roman" w:cs="Times New Roman"/>
          <w:b/>
          <w:bCs/>
          <w:sz w:val="36"/>
          <w:szCs w:val="32"/>
        </w:rPr>
        <w:lastRenderedPageBreak/>
        <w:t xml:space="preserve">Matching </w:t>
      </w:r>
      <w:r w:rsidR="0088465B" w:rsidRPr="00630F8F">
        <w:rPr>
          <w:rFonts w:ascii="Times New Roman" w:hAnsi="Times New Roman" w:cs="Times New Roman"/>
          <w:b/>
          <w:bCs/>
          <w:sz w:val="36"/>
          <w:szCs w:val="32"/>
        </w:rPr>
        <w:t>P</w:t>
      </w:r>
      <w:r w:rsidRPr="00630F8F">
        <w:rPr>
          <w:rFonts w:ascii="Times New Roman" w:hAnsi="Times New Roman" w:cs="Times New Roman"/>
          <w:b/>
          <w:bCs/>
          <w:sz w:val="36"/>
          <w:szCs w:val="32"/>
        </w:rPr>
        <w:t xml:space="preserve">rocess and </w:t>
      </w:r>
      <w:r w:rsidR="0088465B" w:rsidRPr="00630F8F">
        <w:rPr>
          <w:rFonts w:ascii="Times New Roman" w:hAnsi="Times New Roman" w:cs="Times New Roman"/>
          <w:b/>
          <w:bCs/>
          <w:sz w:val="36"/>
          <w:szCs w:val="32"/>
        </w:rPr>
        <w:t>T</w:t>
      </w:r>
      <w:r w:rsidRPr="00630F8F">
        <w:rPr>
          <w:rFonts w:ascii="Times New Roman" w:hAnsi="Times New Roman" w:cs="Times New Roman"/>
          <w:b/>
          <w:bCs/>
          <w:sz w:val="36"/>
          <w:szCs w:val="32"/>
        </w:rPr>
        <w:t xml:space="preserve">echnical </w:t>
      </w:r>
      <w:r w:rsidR="0088465B" w:rsidRPr="00630F8F">
        <w:rPr>
          <w:rFonts w:ascii="Times New Roman" w:hAnsi="Times New Roman" w:cs="Times New Roman"/>
          <w:b/>
          <w:bCs/>
          <w:sz w:val="36"/>
          <w:szCs w:val="32"/>
        </w:rPr>
        <w:t>C</w:t>
      </w:r>
      <w:r w:rsidRPr="00630F8F">
        <w:rPr>
          <w:rFonts w:ascii="Times New Roman" w:hAnsi="Times New Roman" w:cs="Times New Roman"/>
          <w:b/>
          <w:bCs/>
          <w:sz w:val="36"/>
          <w:szCs w:val="32"/>
        </w:rPr>
        <w:t xml:space="preserve">apacity </w:t>
      </w:r>
      <w:r w:rsidR="0088465B" w:rsidRPr="00630F8F">
        <w:rPr>
          <w:rFonts w:ascii="Times New Roman" w:hAnsi="Times New Roman" w:cs="Times New Roman"/>
          <w:b/>
          <w:bCs/>
          <w:sz w:val="36"/>
          <w:szCs w:val="32"/>
        </w:rPr>
        <w:t>a</w:t>
      </w:r>
      <w:r w:rsidRPr="00630F8F">
        <w:rPr>
          <w:rFonts w:ascii="Times New Roman" w:hAnsi="Times New Roman" w:cs="Times New Roman"/>
          <w:b/>
          <w:bCs/>
          <w:sz w:val="36"/>
          <w:szCs w:val="32"/>
        </w:rPr>
        <w:t xml:space="preserve">llocation </w:t>
      </w:r>
    </w:p>
    <w:p w14:paraId="50DAA8FE" w14:textId="77777777" w:rsidR="00515001" w:rsidRPr="00515001" w:rsidRDefault="00515001" w:rsidP="00515001">
      <w:pPr>
        <w:jc w:val="both"/>
        <w:rPr>
          <w:rFonts w:ascii="Times New Roman" w:hAnsi="Times New Roman" w:cs="Times New Roman"/>
          <w:b/>
          <w:bCs/>
          <w:sz w:val="40"/>
          <w:szCs w:val="32"/>
        </w:rPr>
      </w:pPr>
    </w:p>
    <w:p w14:paraId="6F91E5D2" w14:textId="791034FF" w:rsidR="00515001" w:rsidRPr="00515001" w:rsidRDefault="00515001" w:rsidP="00515001">
      <w:pPr>
        <w:pStyle w:val="Luettelokappale"/>
        <w:numPr>
          <w:ilvl w:val="0"/>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b/>
          <w:bCs/>
          <w:sz w:val="36"/>
          <w:szCs w:val="32"/>
        </w:rPr>
      </w:pPr>
      <w:r w:rsidRPr="00515001">
        <w:rPr>
          <w:rFonts w:ascii="Times New Roman" w:hAnsi="Times New Roman" w:cs="Times New Roman"/>
          <w:b/>
          <w:bCs/>
          <w:sz w:val="36"/>
          <w:szCs w:val="32"/>
        </w:rPr>
        <w:t xml:space="preserve">Matching </w:t>
      </w:r>
      <w:r w:rsidR="0088465B">
        <w:rPr>
          <w:rFonts w:ascii="Times New Roman" w:hAnsi="Times New Roman" w:cs="Times New Roman"/>
          <w:b/>
          <w:bCs/>
          <w:sz w:val="36"/>
          <w:szCs w:val="32"/>
        </w:rPr>
        <w:t>P</w:t>
      </w:r>
      <w:r w:rsidRPr="00515001">
        <w:rPr>
          <w:rFonts w:ascii="Times New Roman" w:hAnsi="Times New Roman" w:cs="Times New Roman"/>
          <w:b/>
          <w:bCs/>
          <w:sz w:val="36"/>
          <w:szCs w:val="32"/>
        </w:rPr>
        <w:t>rocess</w:t>
      </w:r>
    </w:p>
    <w:p w14:paraId="4B2AA96B" w14:textId="77777777" w:rsidR="00515001" w:rsidRPr="00515001" w:rsidRDefault="00515001" w:rsidP="00515001">
      <w:pPr>
        <w:numPr>
          <w:ilvl w:val="1"/>
          <w:numId w:val="3"/>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sz w:val="22"/>
        </w:rPr>
      </w:pPr>
      <w:r w:rsidRPr="00515001">
        <w:rPr>
          <w:rFonts w:ascii="Times New Roman" w:hAnsi="Times New Roman" w:cs="Times New Roman"/>
          <w:sz w:val="22"/>
        </w:rPr>
        <w:t xml:space="preserve">The purpose of the Matching Process is to have identical confirmed quantities for each Shipper at both sides of </w:t>
      </w:r>
      <w:proofErr w:type="spellStart"/>
      <w:r w:rsidRPr="00515001">
        <w:rPr>
          <w:rFonts w:ascii="Times New Roman" w:hAnsi="Times New Roman" w:cs="Times New Roman"/>
          <w:sz w:val="22"/>
        </w:rPr>
        <w:t>Balticconnector</w:t>
      </w:r>
      <w:proofErr w:type="spellEnd"/>
      <w:r w:rsidRPr="00515001">
        <w:rPr>
          <w:rFonts w:ascii="Times New Roman" w:hAnsi="Times New Roman" w:cs="Times New Roman"/>
          <w:sz w:val="22"/>
        </w:rPr>
        <w:t>.</w:t>
      </w:r>
    </w:p>
    <w:p w14:paraId="3EB238BA" w14:textId="77777777" w:rsidR="00515001" w:rsidRPr="00515001" w:rsidRDefault="00515001" w:rsidP="00515001">
      <w:pPr>
        <w:numPr>
          <w:ilvl w:val="1"/>
          <w:numId w:val="3"/>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sz w:val="22"/>
        </w:rPr>
      </w:pPr>
      <w:proofErr w:type="spellStart"/>
      <w:r w:rsidRPr="00515001">
        <w:rPr>
          <w:rFonts w:ascii="Times New Roman" w:hAnsi="Times New Roman" w:cs="Times New Roman"/>
          <w:sz w:val="22"/>
        </w:rPr>
        <w:t>Elering</w:t>
      </w:r>
      <w:proofErr w:type="spellEnd"/>
      <w:r w:rsidRPr="00515001">
        <w:rPr>
          <w:rFonts w:ascii="Times New Roman" w:hAnsi="Times New Roman" w:cs="Times New Roman"/>
          <w:sz w:val="22"/>
        </w:rPr>
        <w:t xml:space="preserve"> AS and Finnish TSO (FIN TSO) shall process received Nominations locally before the Matching Process is performed. </w:t>
      </w:r>
    </w:p>
    <w:p w14:paraId="5636FCA7" w14:textId="77777777" w:rsidR="00515001" w:rsidRPr="00515001" w:rsidRDefault="00515001" w:rsidP="00515001">
      <w:pPr>
        <w:numPr>
          <w:ilvl w:val="1"/>
          <w:numId w:val="3"/>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sz w:val="22"/>
        </w:rPr>
      </w:pPr>
      <w:r w:rsidRPr="00515001">
        <w:rPr>
          <w:rFonts w:ascii="Times New Roman" w:hAnsi="Times New Roman" w:cs="Times New Roman"/>
          <w:sz w:val="22"/>
        </w:rPr>
        <w:t xml:space="preserve">Each Shipper submit Nominations to TSO whose system the Shipper is registered to meaning Double-Sided Nomination rules apply. If the same Shipper having the same company ID is active both sides of </w:t>
      </w:r>
      <w:proofErr w:type="spellStart"/>
      <w:r w:rsidRPr="00515001">
        <w:rPr>
          <w:rFonts w:ascii="Times New Roman" w:hAnsi="Times New Roman" w:cs="Times New Roman"/>
          <w:sz w:val="22"/>
        </w:rPr>
        <w:t>Balticconnector</w:t>
      </w:r>
      <w:proofErr w:type="spellEnd"/>
      <w:r w:rsidRPr="00515001">
        <w:rPr>
          <w:rFonts w:ascii="Times New Roman" w:hAnsi="Times New Roman" w:cs="Times New Roman"/>
          <w:sz w:val="22"/>
        </w:rPr>
        <w:t xml:space="preserve">, the Shipper shall submit Nominations both sides of the interconnection point when transferring gas for itself through </w:t>
      </w:r>
      <w:proofErr w:type="spellStart"/>
      <w:r w:rsidRPr="00515001">
        <w:rPr>
          <w:rFonts w:ascii="Times New Roman" w:hAnsi="Times New Roman" w:cs="Times New Roman"/>
          <w:sz w:val="22"/>
        </w:rPr>
        <w:t>Balticconnector</w:t>
      </w:r>
      <w:proofErr w:type="spellEnd"/>
      <w:r w:rsidRPr="00515001">
        <w:rPr>
          <w:rFonts w:ascii="Times New Roman" w:hAnsi="Times New Roman" w:cs="Times New Roman"/>
          <w:sz w:val="22"/>
        </w:rPr>
        <w:t>.</w:t>
      </w:r>
    </w:p>
    <w:p w14:paraId="16877EA4" w14:textId="77777777" w:rsidR="00515001" w:rsidRPr="00515001" w:rsidRDefault="00515001" w:rsidP="00515001">
      <w:pPr>
        <w:numPr>
          <w:ilvl w:val="1"/>
          <w:numId w:val="3"/>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sz w:val="22"/>
        </w:rPr>
      </w:pPr>
      <w:r w:rsidRPr="00515001">
        <w:rPr>
          <w:rFonts w:ascii="Times New Roman" w:hAnsi="Times New Roman" w:cs="Times New Roman"/>
          <w:sz w:val="22"/>
        </w:rPr>
        <w:t xml:space="preserve">The matching rule for coordinating confirmed quantities at </w:t>
      </w:r>
      <w:proofErr w:type="spellStart"/>
      <w:r w:rsidRPr="00515001">
        <w:rPr>
          <w:rFonts w:ascii="Times New Roman" w:hAnsi="Times New Roman" w:cs="Times New Roman"/>
          <w:sz w:val="22"/>
        </w:rPr>
        <w:t>Balticconnector</w:t>
      </w:r>
      <w:proofErr w:type="spellEnd"/>
      <w:r w:rsidRPr="00515001">
        <w:rPr>
          <w:rFonts w:ascii="Times New Roman" w:hAnsi="Times New Roman" w:cs="Times New Roman"/>
          <w:sz w:val="22"/>
        </w:rPr>
        <w:t xml:space="preserve"> is lesser rule.</w:t>
      </w:r>
    </w:p>
    <w:p w14:paraId="67122999" w14:textId="77777777" w:rsidR="00515001" w:rsidRPr="00515001" w:rsidRDefault="00515001" w:rsidP="00515001">
      <w:pPr>
        <w:numPr>
          <w:ilvl w:val="1"/>
          <w:numId w:val="3"/>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sz w:val="22"/>
        </w:rPr>
      </w:pPr>
      <w:r w:rsidRPr="00515001">
        <w:rPr>
          <w:rFonts w:ascii="Times New Roman" w:hAnsi="Times New Roman" w:cs="Times New Roman"/>
          <w:sz w:val="22"/>
        </w:rPr>
        <w:t xml:space="preserve">Initiating TSO shall be </w:t>
      </w:r>
      <w:proofErr w:type="spellStart"/>
      <w:r w:rsidRPr="00515001">
        <w:rPr>
          <w:rFonts w:ascii="Times New Roman" w:hAnsi="Times New Roman" w:cs="Times New Roman"/>
          <w:sz w:val="22"/>
        </w:rPr>
        <w:t>Elering</w:t>
      </w:r>
      <w:proofErr w:type="spellEnd"/>
      <w:r w:rsidRPr="00515001">
        <w:rPr>
          <w:rFonts w:ascii="Times New Roman" w:hAnsi="Times New Roman" w:cs="Times New Roman"/>
          <w:sz w:val="22"/>
        </w:rPr>
        <w:t xml:space="preserve"> AS and Matching TSO shall be FIN TSO.</w:t>
      </w:r>
    </w:p>
    <w:p w14:paraId="3ED2D27C" w14:textId="48F17E51" w:rsidR="00515001" w:rsidRPr="00515001" w:rsidRDefault="00515001" w:rsidP="00515001">
      <w:pPr>
        <w:numPr>
          <w:ilvl w:val="1"/>
          <w:numId w:val="3"/>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sz w:val="22"/>
        </w:rPr>
        <w:t xml:space="preserve">Coordinated </w:t>
      </w:r>
      <w:r w:rsidR="0080199C">
        <w:rPr>
          <w:rFonts w:ascii="Times New Roman" w:hAnsi="Times New Roman" w:cs="Times New Roman"/>
          <w:sz w:val="22"/>
        </w:rPr>
        <w:t>T</w:t>
      </w:r>
      <w:r w:rsidRPr="00515001">
        <w:rPr>
          <w:rFonts w:ascii="Times New Roman" w:hAnsi="Times New Roman" w:cs="Times New Roman"/>
          <w:sz w:val="22"/>
        </w:rPr>
        <w:t xml:space="preserve">echnical </w:t>
      </w:r>
      <w:r w:rsidR="0080199C">
        <w:rPr>
          <w:rFonts w:ascii="Times New Roman" w:hAnsi="Times New Roman" w:cs="Times New Roman"/>
          <w:sz w:val="22"/>
        </w:rPr>
        <w:t>C</w:t>
      </w:r>
      <w:r w:rsidRPr="00515001">
        <w:rPr>
          <w:rFonts w:ascii="Times New Roman" w:hAnsi="Times New Roman" w:cs="Times New Roman"/>
          <w:sz w:val="22"/>
        </w:rPr>
        <w:t xml:space="preserve">apacity is compared to the results of Matching </w:t>
      </w:r>
      <w:r w:rsidR="00C5758E">
        <w:rPr>
          <w:rFonts w:ascii="Times New Roman" w:hAnsi="Times New Roman" w:cs="Times New Roman"/>
          <w:sz w:val="22"/>
        </w:rPr>
        <w:t>P</w:t>
      </w:r>
      <w:r w:rsidRPr="00515001">
        <w:rPr>
          <w:rFonts w:ascii="Times New Roman" w:hAnsi="Times New Roman" w:cs="Times New Roman"/>
          <w:sz w:val="22"/>
        </w:rPr>
        <w:t xml:space="preserve">rocess, i.e. to Confirmed Nominations. If the results of Matching </w:t>
      </w:r>
      <w:r w:rsidR="00C5758E">
        <w:rPr>
          <w:rFonts w:ascii="Times New Roman" w:hAnsi="Times New Roman" w:cs="Times New Roman"/>
          <w:sz w:val="22"/>
        </w:rPr>
        <w:t>P</w:t>
      </w:r>
      <w:r w:rsidRPr="00515001">
        <w:rPr>
          <w:rFonts w:ascii="Times New Roman" w:hAnsi="Times New Roman" w:cs="Times New Roman"/>
          <w:sz w:val="22"/>
        </w:rPr>
        <w:t xml:space="preserve">rocess, i.e. aggregated Confirmed Nominations exceed the coordinated Technical </w:t>
      </w:r>
      <w:r w:rsidR="00C5758E">
        <w:rPr>
          <w:rFonts w:ascii="Times New Roman" w:hAnsi="Times New Roman" w:cs="Times New Roman"/>
          <w:sz w:val="22"/>
        </w:rPr>
        <w:t>C</w:t>
      </w:r>
      <w:r w:rsidRPr="00515001">
        <w:rPr>
          <w:rFonts w:ascii="Times New Roman" w:hAnsi="Times New Roman" w:cs="Times New Roman"/>
          <w:sz w:val="22"/>
        </w:rPr>
        <w:t xml:space="preserve">apacity, Confirmed Nominations are reduced pro rata. FIN TSO as Matching TSO shall perform the comparison of coordinated Technical </w:t>
      </w:r>
      <w:r w:rsidR="00DC3DBB">
        <w:rPr>
          <w:rFonts w:ascii="Times New Roman" w:hAnsi="Times New Roman" w:cs="Times New Roman"/>
          <w:sz w:val="22"/>
        </w:rPr>
        <w:t>C</w:t>
      </w:r>
      <w:r w:rsidRPr="00515001">
        <w:rPr>
          <w:rFonts w:ascii="Times New Roman" w:hAnsi="Times New Roman" w:cs="Times New Roman"/>
          <w:sz w:val="22"/>
        </w:rPr>
        <w:t xml:space="preserve">apacity and the Confirmed Nominations with </w:t>
      </w:r>
      <w:r w:rsidRPr="00515001">
        <w:rPr>
          <w:rFonts w:ascii="Times New Roman" w:hAnsi="Times New Roman" w:cs="Times New Roman"/>
          <w:i/>
          <w:sz w:val="22"/>
        </w:rPr>
        <w:t>pro rata</w:t>
      </w:r>
      <w:r w:rsidRPr="00515001">
        <w:rPr>
          <w:rFonts w:ascii="Times New Roman" w:hAnsi="Times New Roman" w:cs="Times New Roman"/>
          <w:sz w:val="22"/>
        </w:rPr>
        <w:t xml:space="preserve"> reduction if needed. </w:t>
      </w:r>
    </w:p>
    <w:p w14:paraId="38E1BB36" w14:textId="60554957" w:rsidR="00515001" w:rsidRPr="00515001" w:rsidRDefault="00515001" w:rsidP="00515001">
      <w:pPr>
        <w:numPr>
          <w:ilvl w:val="1"/>
          <w:numId w:val="3"/>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sz w:val="22"/>
        </w:rPr>
        <w:t xml:space="preserve">Technical </w:t>
      </w:r>
      <w:r w:rsidR="00DC3DBB">
        <w:rPr>
          <w:rFonts w:ascii="Times New Roman" w:hAnsi="Times New Roman" w:cs="Times New Roman"/>
          <w:sz w:val="22"/>
        </w:rPr>
        <w:t>C</w:t>
      </w:r>
      <w:r w:rsidRPr="00515001">
        <w:rPr>
          <w:rFonts w:ascii="Times New Roman" w:hAnsi="Times New Roman" w:cs="Times New Roman"/>
          <w:sz w:val="22"/>
        </w:rPr>
        <w:t xml:space="preserve">apacity is compared to the results of Matching process of </w:t>
      </w:r>
      <w:proofErr w:type="spellStart"/>
      <w:r w:rsidRPr="00515001">
        <w:rPr>
          <w:rFonts w:ascii="Times New Roman" w:hAnsi="Times New Roman" w:cs="Times New Roman"/>
          <w:sz w:val="22"/>
        </w:rPr>
        <w:t>Renominations</w:t>
      </w:r>
      <w:proofErr w:type="spellEnd"/>
      <w:r w:rsidRPr="00515001">
        <w:rPr>
          <w:rFonts w:ascii="Times New Roman" w:hAnsi="Times New Roman" w:cs="Times New Roman"/>
          <w:sz w:val="22"/>
        </w:rPr>
        <w:t xml:space="preserve">. If the results of Matching process exceed the Technical </w:t>
      </w:r>
      <w:r w:rsidR="00534139">
        <w:rPr>
          <w:rFonts w:ascii="Times New Roman" w:hAnsi="Times New Roman" w:cs="Times New Roman"/>
          <w:sz w:val="22"/>
        </w:rPr>
        <w:t>C</w:t>
      </w:r>
      <w:r w:rsidRPr="00515001">
        <w:rPr>
          <w:rFonts w:ascii="Times New Roman" w:hAnsi="Times New Roman" w:cs="Times New Roman"/>
          <w:sz w:val="22"/>
        </w:rPr>
        <w:t xml:space="preserve">apacity, the aggregated Confirmed </w:t>
      </w:r>
      <w:proofErr w:type="spellStart"/>
      <w:r w:rsidRPr="00515001">
        <w:rPr>
          <w:rFonts w:ascii="Times New Roman" w:hAnsi="Times New Roman" w:cs="Times New Roman"/>
          <w:sz w:val="22"/>
        </w:rPr>
        <w:t>Renomination</w:t>
      </w:r>
      <w:proofErr w:type="spellEnd"/>
      <w:r w:rsidRPr="00515001">
        <w:rPr>
          <w:rFonts w:ascii="Times New Roman" w:hAnsi="Times New Roman" w:cs="Times New Roman"/>
          <w:sz w:val="22"/>
        </w:rPr>
        <w:t xml:space="preserve"> are reduced pro rata for the part of </w:t>
      </w:r>
      <w:proofErr w:type="spellStart"/>
      <w:r w:rsidRPr="00515001">
        <w:rPr>
          <w:rFonts w:ascii="Times New Roman" w:hAnsi="Times New Roman" w:cs="Times New Roman"/>
          <w:sz w:val="22"/>
        </w:rPr>
        <w:t>renominated</w:t>
      </w:r>
      <w:proofErr w:type="spellEnd"/>
      <w:r w:rsidRPr="00515001">
        <w:rPr>
          <w:rFonts w:ascii="Times New Roman" w:hAnsi="Times New Roman" w:cs="Times New Roman"/>
          <w:sz w:val="22"/>
        </w:rPr>
        <w:t xml:space="preserve"> quantity which exceeds previously Confirmed Nomination. For example, Confirmed Nomination of the Shipper is 50 units. Shipper </w:t>
      </w:r>
      <w:proofErr w:type="spellStart"/>
      <w:r w:rsidRPr="00515001">
        <w:rPr>
          <w:rFonts w:ascii="Times New Roman" w:hAnsi="Times New Roman" w:cs="Times New Roman"/>
          <w:sz w:val="22"/>
        </w:rPr>
        <w:t>Renominates</w:t>
      </w:r>
      <w:proofErr w:type="spellEnd"/>
      <w:r w:rsidRPr="00515001">
        <w:rPr>
          <w:rFonts w:ascii="Times New Roman" w:hAnsi="Times New Roman" w:cs="Times New Roman"/>
          <w:sz w:val="22"/>
        </w:rPr>
        <w:t xml:space="preserve"> 70 units which means that already confirmed 50 units will stay as firm, but exceeding part of 20 units shall be reduced pro rata in case of congestion. </w:t>
      </w:r>
    </w:p>
    <w:p w14:paraId="46D7CA21" w14:textId="77777777" w:rsidR="00515001" w:rsidRPr="00515001"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Nominations must contain the data necessary to enable each TSO to perform its responsibilities in the Matching Process described out in Interoperability Network Code. Nominations not containing the necessary information are not accepted and included in the Matching Process.</w:t>
      </w:r>
    </w:p>
    <w:p w14:paraId="5F7220B7" w14:textId="77777777" w:rsidR="00515001" w:rsidRPr="00515001"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The TSOs may reject a Nomination or </w:t>
      </w:r>
      <w:proofErr w:type="spellStart"/>
      <w:r w:rsidRPr="00515001">
        <w:rPr>
          <w:rFonts w:ascii="Times New Roman" w:hAnsi="Times New Roman" w:cs="Times New Roman"/>
          <w:color w:val="000000" w:themeColor="text1"/>
          <w:sz w:val="22"/>
        </w:rPr>
        <w:t>Renomination</w:t>
      </w:r>
      <w:proofErr w:type="spellEnd"/>
      <w:r w:rsidRPr="00515001">
        <w:rPr>
          <w:rFonts w:ascii="Times New Roman" w:hAnsi="Times New Roman" w:cs="Times New Roman"/>
          <w:color w:val="000000" w:themeColor="text1"/>
          <w:sz w:val="22"/>
        </w:rPr>
        <w:t xml:space="preserve">, if it contains incomplete or erroneous information, if the Nomination or </w:t>
      </w:r>
      <w:proofErr w:type="spellStart"/>
      <w:r w:rsidRPr="00515001">
        <w:rPr>
          <w:rFonts w:ascii="Times New Roman" w:hAnsi="Times New Roman" w:cs="Times New Roman"/>
          <w:color w:val="000000" w:themeColor="text1"/>
          <w:sz w:val="22"/>
        </w:rPr>
        <w:t>Renomination</w:t>
      </w:r>
      <w:proofErr w:type="spellEnd"/>
      <w:r w:rsidRPr="00515001">
        <w:rPr>
          <w:rFonts w:ascii="Times New Roman" w:hAnsi="Times New Roman" w:cs="Times New Roman"/>
          <w:color w:val="000000" w:themeColor="text1"/>
          <w:sz w:val="22"/>
        </w:rPr>
        <w:t xml:space="preserve"> has submitted after the ‘no later than’ deadline applied or if the Shipper does not have the right to submit Nominations or </w:t>
      </w:r>
      <w:proofErr w:type="spellStart"/>
      <w:r w:rsidRPr="00515001">
        <w:rPr>
          <w:rFonts w:ascii="Times New Roman" w:hAnsi="Times New Roman" w:cs="Times New Roman"/>
          <w:color w:val="000000" w:themeColor="text1"/>
          <w:sz w:val="22"/>
        </w:rPr>
        <w:t>Renominations</w:t>
      </w:r>
      <w:proofErr w:type="spellEnd"/>
      <w:r w:rsidRPr="00515001">
        <w:rPr>
          <w:rFonts w:ascii="Times New Roman" w:hAnsi="Times New Roman" w:cs="Times New Roman"/>
          <w:color w:val="000000" w:themeColor="text1"/>
          <w:sz w:val="22"/>
        </w:rPr>
        <w:t>.</w:t>
      </w:r>
    </w:p>
    <w:p w14:paraId="385DE652" w14:textId="77777777" w:rsidR="00515001" w:rsidRPr="00515001"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color w:val="000000" w:themeColor="text1"/>
          <w:sz w:val="22"/>
        </w:rPr>
      </w:pPr>
      <w:r w:rsidRPr="00515001">
        <w:rPr>
          <w:rFonts w:ascii="Times New Roman" w:eastAsia="Times New Roman" w:hAnsi="Times New Roman" w:cs="Times New Roman"/>
          <w:sz w:val="22"/>
        </w:rPr>
        <w:t xml:space="preserve">TSOs shall reject submitted </w:t>
      </w:r>
      <w:proofErr w:type="spellStart"/>
      <w:r w:rsidRPr="00515001">
        <w:rPr>
          <w:rFonts w:ascii="Times New Roman" w:eastAsia="Times New Roman" w:hAnsi="Times New Roman" w:cs="Times New Roman"/>
          <w:sz w:val="22"/>
        </w:rPr>
        <w:t>Renomination</w:t>
      </w:r>
      <w:proofErr w:type="spellEnd"/>
      <w:r w:rsidRPr="00515001">
        <w:rPr>
          <w:rFonts w:ascii="Times New Roman" w:eastAsia="Times New Roman" w:hAnsi="Times New Roman" w:cs="Times New Roman"/>
          <w:sz w:val="22"/>
        </w:rPr>
        <w:t xml:space="preserve"> also in the following cases: </w:t>
      </w:r>
    </w:p>
    <w:p w14:paraId="0559A977" w14:textId="77777777" w:rsidR="00515001" w:rsidRPr="00515001" w:rsidRDefault="00515001" w:rsidP="00515001">
      <w:pPr>
        <w:pStyle w:val="Luettelokappale"/>
        <w:numPr>
          <w:ilvl w:val="2"/>
          <w:numId w:val="3"/>
        </w:numPr>
        <w:tabs>
          <w:tab w:val="clear" w:pos="1304"/>
          <w:tab w:val="clear" w:pos="2608"/>
          <w:tab w:val="clear" w:pos="3912"/>
          <w:tab w:val="clear" w:pos="5216"/>
          <w:tab w:val="clear" w:pos="6521"/>
          <w:tab w:val="clear" w:pos="7825"/>
        </w:tabs>
        <w:spacing w:line="259" w:lineRule="auto"/>
        <w:jc w:val="both"/>
        <w:rPr>
          <w:sz w:val="22"/>
        </w:rPr>
      </w:pPr>
      <w:r w:rsidRPr="00515001">
        <w:rPr>
          <w:rFonts w:ascii="Times New Roman" w:eastAsia="Times New Roman" w:hAnsi="Times New Roman" w:cs="Times New Roman"/>
          <w:sz w:val="22"/>
        </w:rPr>
        <w:t xml:space="preserve">If submitted downward </w:t>
      </w:r>
      <w:proofErr w:type="spellStart"/>
      <w:r w:rsidRPr="00515001">
        <w:rPr>
          <w:rFonts w:ascii="Times New Roman" w:eastAsia="Times New Roman" w:hAnsi="Times New Roman" w:cs="Times New Roman"/>
          <w:sz w:val="22"/>
        </w:rPr>
        <w:t>Renomination</w:t>
      </w:r>
      <w:proofErr w:type="spellEnd"/>
      <w:r w:rsidRPr="00515001">
        <w:rPr>
          <w:rFonts w:ascii="Times New Roman" w:eastAsia="Times New Roman" w:hAnsi="Times New Roman" w:cs="Times New Roman"/>
          <w:sz w:val="22"/>
        </w:rPr>
        <w:t xml:space="preserve"> is smaller than gas quantities already transported.</w:t>
      </w:r>
    </w:p>
    <w:p w14:paraId="7988CB33" w14:textId="63D75EDA" w:rsidR="00515001" w:rsidRPr="00515001" w:rsidRDefault="00515001" w:rsidP="00515001">
      <w:pPr>
        <w:numPr>
          <w:ilvl w:val="2"/>
          <w:numId w:val="3"/>
        </w:numPr>
        <w:tabs>
          <w:tab w:val="clear" w:pos="1304"/>
          <w:tab w:val="clear" w:pos="2608"/>
          <w:tab w:val="clear" w:pos="3912"/>
          <w:tab w:val="clear" w:pos="5216"/>
          <w:tab w:val="clear" w:pos="6521"/>
          <w:tab w:val="clear" w:pos="7825"/>
        </w:tabs>
        <w:spacing w:line="259" w:lineRule="auto"/>
        <w:jc w:val="both"/>
        <w:rPr>
          <w:color w:val="000000" w:themeColor="text1"/>
          <w:sz w:val="22"/>
        </w:rPr>
      </w:pPr>
      <w:r w:rsidRPr="00515001">
        <w:rPr>
          <w:rFonts w:ascii="Times New Roman" w:eastAsia="Times New Roman" w:hAnsi="Times New Roman" w:cs="Times New Roman"/>
          <w:sz w:val="22"/>
        </w:rPr>
        <w:t xml:space="preserve">If submitted upward or downward </w:t>
      </w:r>
      <w:proofErr w:type="spellStart"/>
      <w:r w:rsidRPr="00515001">
        <w:rPr>
          <w:rFonts w:ascii="Times New Roman" w:eastAsia="Times New Roman" w:hAnsi="Times New Roman" w:cs="Times New Roman"/>
          <w:sz w:val="22"/>
        </w:rPr>
        <w:t>Renomination</w:t>
      </w:r>
      <w:proofErr w:type="spellEnd"/>
      <w:r w:rsidRPr="00515001">
        <w:rPr>
          <w:rFonts w:ascii="Times New Roman" w:eastAsia="Times New Roman" w:hAnsi="Times New Roman" w:cs="Times New Roman"/>
          <w:sz w:val="22"/>
        </w:rPr>
        <w:t xml:space="preserve"> preclude system operations of TSOs to fulfil already Accepted Nominations.</w:t>
      </w:r>
    </w:p>
    <w:p w14:paraId="0FE855A5" w14:textId="77777777" w:rsidR="00515001" w:rsidRPr="00515001" w:rsidRDefault="00515001" w:rsidP="00515001">
      <w:pPr>
        <w:pStyle w:val="Luettelokappale"/>
        <w:numPr>
          <w:ilvl w:val="2"/>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The Matching Process for Nominations starts each day at 15:00 EE(S)T meaning at the same time as the Nomination submission period ends.</w:t>
      </w:r>
    </w:p>
    <w:p w14:paraId="5F2A66FE" w14:textId="2454DB9F" w:rsidR="00515001" w:rsidRPr="00515001" w:rsidRDefault="00515001" w:rsidP="00515001">
      <w:pPr>
        <w:numPr>
          <w:ilvl w:val="1"/>
          <w:numId w:val="3"/>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sz w:val="22"/>
        </w:rPr>
        <w:t xml:space="preserve">The Matching Process for </w:t>
      </w:r>
      <w:proofErr w:type="spellStart"/>
      <w:r w:rsidRPr="00515001">
        <w:rPr>
          <w:rFonts w:ascii="Times New Roman" w:hAnsi="Times New Roman" w:cs="Times New Roman"/>
          <w:sz w:val="22"/>
        </w:rPr>
        <w:t>Renominations</w:t>
      </w:r>
      <w:proofErr w:type="spellEnd"/>
      <w:r w:rsidRPr="00515001">
        <w:rPr>
          <w:rFonts w:ascii="Times New Roman" w:hAnsi="Times New Roman" w:cs="Times New Roman"/>
          <w:sz w:val="22"/>
        </w:rPr>
        <w:t xml:space="preserve"> starts every full hour when the respective </w:t>
      </w:r>
      <w:proofErr w:type="spellStart"/>
      <w:r w:rsidRPr="00515001">
        <w:rPr>
          <w:rFonts w:ascii="Times New Roman" w:hAnsi="Times New Roman" w:cs="Times New Roman"/>
          <w:sz w:val="22"/>
        </w:rPr>
        <w:t>Renomination</w:t>
      </w:r>
      <w:proofErr w:type="spellEnd"/>
      <w:r w:rsidRPr="00515001">
        <w:rPr>
          <w:rFonts w:ascii="Times New Roman" w:hAnsi="Times New Roman" w:cs="Times New Roman"/>
          <w:sz w:val="22"/>
        </w:rPr>
        <w:t xml:space="preserve"> cycle ends, if nominated quantities have changed during last </w:t>
      </w:r>
      <w:proofErr w:type="spellStart"/>
      <w:r w:rsidRPr="00515001">
        <w:rPr>
          <w:rFonts w:ascii="Times New Roman" w:hAnsi="Times New Roman" w:cs="Times New Roman"/>
          <w:sz w:val="22"/>
        </w:rPr>
        <w:t>Renomination</w:t>
      </w:r>
      <w:proofErr w:type="spellEnd"/>
      <w:r w:rsidRPr="00515001">
        <w:rPr>
          <w:rFonts w:ascii="Times New Roman" w:hAnsi="Times New Roman" w:cs="Times New Roman"/>
          <w:sz w:val="22"/>
        </w:rPr>
        <w:t xml:space="preserve"> cycle. First </w:t>
      </w:r>
      <w:proofErr w:type="spellStart"/>
      <w:r w:rsidR="00200A40">
        <w:rPr>
          <w:rFonts w:ascii="Times New Roman" w:hAnsi="Times New Roman" w:cs="Times New Roman"/>
          <w:sz w:val="22"/>
        </w:rPr>
        <w:t>R</w:t>
      </w:r>
      <w:r w:rsidRPr="00515001">
        <w:rPr>
          <w:rFonts w:ascii="Times New Roman" w:hAnsi="Times New Roman" w:cs="Times New Roman"/>
          <w:sz w:val="22"/>
        </w:rPr>
        <w:t>enomination</w:t>
      </w:r>
      <w:proofErr w:type="spellEnd"/>
      <w:r w:rsidRPr="00515001">
        <w:rPr>
          <w:rFonts w:ascii="Times New Roman" w:hAnsi="Times New Roman" w:cs="Times New Roman"/>
          <w:sz w:val="22"/>
        </w:rPr>
        <w:t xml:space="preserve"> cycle starts after the day ahead nominations have been confirmed at 17:00 EE(S)T </w:t>
      </w:r>
    </w:p>
    <w:p w14:paraId="199C1C53" w14:textId="2067097E" w:rsidR="00515001" w:rsidRPr="00515001" w:rsidRDefault="00515001" w:rsidP="00515001">
      <w:pPr>
        <w:keepNext/>
        <w:numPr>
          <w:ilvl w:val="1"/>
          <w:numId w:val="3"/>
        </w:numPr>
        <w:tabs>
          <w:tab w:val="clear" w:pos="1304"/>
          <w:tab w:val="clear" w:pos="2608"/>
          <w:tab w:val="clear" w:pos="3912"/>
          <w:tab w:val="clear" w:pos="5216"/>
          <w:tab w:val="clear" w:pos="6521"/>
          <w:tab w:val="clear" w:pos="7825"/>
        </w:tabs>
        <w:spacing w:line="264" w:lineRule="auto"/>
        <w:jc w:val="both"/>
        <w:rPr>
          <w:rFonts w:cs="Times New Roman"/>
        </w:rPr>
      </w:pPr>
      <w:r w:rsidRPr="00515001">
        <w:rPr>
          <w:rFonts w:ascii="Times New Roman" w:hAnsi="Times New Roman" w:cs="Times New Roman"/>
          <w:sz w:val="22"/>
        </w:rPr>
        <w:t>The Matching Process timeline is described in table 1.</w:t>
      </w:r>
    </w:p>
    <w:p w14:paraId="3BDD6430" w14:textId="77777777" w:rsidR="00515001" w:rsidRDefault="00515001">
      <w:pPr>
        <w:tabs>
          <w:tab w:val="clear" w:pos="1304"/>
          <w:tab w:val="clear" w:pos="2608"/>
          <w:tab w:val="clear" w:pos="3912"/>
          <w:tab w:val="clear" w:pos="5216"/>
          <w:tab w:val="clear" w:pos="6521"/>
          <w:tab w:val="clear" w:pos="7825"/>
        </w:tabs>
        <w:spacing w:after="200" w:line="276" w:lineRule="auto"/>
        <w:rPr>
          <w:rFonts w:ascii="Times New Roman" w:eastAsia="Times New Roman" w:hAnsi="Times New Roman" w:cs="Times New Roman"/>
          <w:i/>
          <w:iCs/>
          <w:sz w:val="24"/>
          <w:szCs w:val="24"/>
          <w:lang w:val="et-EE" w:eastAsia="ar-SA"/>
        </w:rPr>
      </w:pPr>
      <w:r>
        <w:rPr>
          <w:rFonts w:cs="Times New Roman"/>
        </w:rPr>
        <w:br w:type="page"/>
      </w:r>
    </w:p>
    <w:p w14:paraId="2CFDCA06" w14:textId="54221DC8" w:rsidR="00515001" w:rsidRPr="00515001" w:rsidRDefault="00515001" w:rsidP="00515001">
      <w:pPr>
        <w:pStyle w:val="Kuvaotsikko"/>
        <w:keepNext/>
        <w:jc w:val="both"/>
        <w:rPr>
          <w:rFonts w:cs="Times New Roman"/>
        </w:rPr>
      </w:pPr>
      <w:r w:rsidRPr="00515001">
        <w:rPr>
          <w:rFonts w:cs="Times New Roman"/>
        </w:rPr>
        <w:lastRenderedPageBreak/>
        <w:t xml:space="preserve">Table 1. Timeline of Matching process. </w:t>
      </w:r>
    </w:p>
    <w:tbl>
      <w:tblPr>
        <w:tblW w:w="5000" w:type="pct"/>
        <w:tblLook w:val="04A0" w:firstRow="1" w:lastRow="0" w:firstColumn="1" w:lastColumn="0" w:noHBand="0" w:noVBand="1"/>
      </w:tblPr>
      <w:tblGrid>
        <w:gridCol w:w="3690"/>
        <w:gridCol w:w="6103"/>
      </w:tblGrid>
      <w:tr w:rsidR="00515001" w:rsidRPr="00515001" w14:paraId="32234545" w14:textId="77777777" w:rsidTr="00565141">
        <w:tc>
          <w:tcPr>
            <w:tcW w:w="1884" w:type="pct"/>
            <w:tcBorders>
              <w:top w:val="single" w:sz="4" w:space="0" w:color="auto"/>
              <w:left w:val="single" w:sz="4" w:space="0" w:color="auto"/>
              <w:bottom w:val="single" w:sz="4" w:space="0" w:color="auto"/>
              <w:right w:val="single" w:sz="4" w:space="0" w:color="auto"/>
            </w:tcBorders>
            <w:shd w:val="clear" w:color="auto" w:fill="92D050"/>
            <w:hideMark/>
          </w:tcPr>
          <w:p w14:paraId="1F3C1E46" w14:textId="77777777" w:rsidR="00515001" w:rsidRPr="00515001" w:rsidRDefault="00515001" w:rsidP="00565141">
            <w:pPr>
              <w:jc w:val="both"/>
              <w:rPr>
                <w:rFonts w:ascii="Times New Roman" w:eastAsia="Times New Roman" w:hAnsi="Times New Roman" w:cs="Times New Roman"/>
                <w:sz w:val="22"/>
                <w:lang w:eastAsia="en-GB"/>
              </w:rPr>
            </w:pPr>
            <w:r w:rsidRPr="00515001">
              <w:rPr>
                <w:rFonts w:ascii="Times New Roman" w:eastAsia="Times New Roman" w:hAnsi="Times New Roman" w:cs="Times New Roman"/>
                <w:sz w:val="22"/>
                <w:lang w:eastAsia="en-GB"/>
              </w:rPr>
              <w:t xml:space="preserve">Matching Activity </w:t>
            </w:r>
          </w:p>
        </w:tc>
        <w:tc>
          <w:tcPr>
            <w:tcW w:w="3116" w:type="pct"/>
            <w:tcBorders>
              <w:top w:val="single" w:sz="4" w:space="0" w:color="auto"/>
              <w:left w:val="nil"/>
              <w:bottom w:val="single" w:sz="4" w:space="0" w:color="auto"/>
              <w:right w:val="single" w:sz="4" w:space="0" w:color="auto"/>
            </w:tcBorders>
            <w:shd w:val="clear" w:color="auto" w:fill="92D050"/>
            <w:hideMark/>
          </w:tcPr>
          <w:p w14:paraId="606231F4" w14:textId="77777777" w:rsidR="00515001" w:rsidRPr="00515001" w:rsidRDefault="00515001" w:rsidP="00565141">
            <w:pPr>
              <w:jc w:val="both"/>
              <w:rPr>
                <w:rFonts w:ascii="Times New Roman" w:eastAsia="Times New Roman" w:hAnsi="Times New Roman" w:cs="Times New Roman"/>
                <w:sz w:val="22"/>
                <w:lang w:eastAsia="en-GB"/>
              </w:rPr>
            </w:pPr>
            <w:r w:rsidRPr="00515001">
              <w:rPr>
                <w:rFonts w:ascii="Times New Roman" w:eastAsia="Times New Roman" w:hAnsi="Times New Roman" w:cs="Times New Roman"/>
                <w:sz w:val="22"/>
                <w:lang w:eastAsia="en-GB"/>
              </w:rPr>
              <w:t>Deadline for Provision</w:t>
            </w:r>
          </w:p>
        </w:tc>
      </w:tr>
      <w:tr w:rsidR="00515001" w:rsidRPr="00515001" w14:paraId="31700E50" w14:textId="77777777" w:rsidTr="00565141">
        <w:tc>
          <w:tcPr>
            <w:tcW w:w="1884" w:type="pct"/>
            <w:tcBorders>
              <w:top w:val="nil"/>
              <w:left w:val="single" w:sz="4" w:space="0" w:color="auto"/>
              <w:bottom w:val="single" w:sz="4" w:space="0" w:color="auto"/>
              <w:right w:val="single" w:sz="4" w:space="0" w:color="auto"/>
            </w:tcBorders>
            <w:shd w:val="clear" w:color="auto" w:fill="auto"/>
            <w:hideMark/>
          </w:tcPr>
          <w:p w14:paraId="0E252390" w14:textId="77777777" w:rsidR="00515001" w:rsidRPr="00515001" w:rsidRDefault="00515001" w:rsidP="00565141">
            <w:pPr>
              <w:jc w:val="both"/>
              <w:rPr>
                <w:rFonts w:ascii="Times New Roman" w:eastAsia="Times New Roman" w:hAnsi="Times New Roman" w:cs="Times New Roman"/>
                <w:sz w:val="22"/>
                <w:lang w:eastAsia="en-GB"/>
              </w:rPr>
            </w:pPr>
            <w:r w:rsidRPr="00515001">
              <w:rPr>
                <w:rFonts w:ascii="Times New Roman" w:eastAsia="Times New Roman" w:hAnsi="Times New Roman" w:cs="Times New Roman"/>
                <w:sz w:val="22"/>
                <w:lang w:eastAsia="en-GB"/>
              </w:rPr>
              <w:t xml:space="preserve">Initiating TSO forwards its Processed Nomination Quantities to the Matching TSO </w:t>
            </w:r>
          </w:p>
        </w:tc>
        <w:tc>
          <w:tcPr>
            <w:tcW w:w="3116" w:type="pct"/>
            <w:tcBorders>
              <w:top w:val="nil"/>
              <w:left w:val="nil"/>
              <w:bottom w:val="single" w:sz="4" w:space="0" w:color="auto"/>
              <w:right w:val="single" w:sz="4" w:space="0" w:color="auto"/>
            </w:tcBorders>
            <w:shd w:val="clear" w:color="auto" w:fill="auto"/>
            <w:noWrap/>
            <w:hideMark/>
          </w:tcPr>
          <w:p w14:paraId="63D8E5A3" w14:textId="77777777" w:rsidR="00515001" w:rsidRDefault="00515001" w:rsidP="00565141">
            <w:pPr>
              <w:jc w:val="both"/>
              <w:rPr>
                <w:rFonts w:ascii="Times New Roman" w:eastAsia="Times New Roman" w:hAnsi="Times New Roman" w:cs="Times New Roman"/>
                <w:sz w:val="22"/>
                <w:lang w:eastAsia="en-GB"/>
              </w:rPr>
            </w:pPr>
            <w:r w:rsidRPr="00515001">
              <w:rPr>
                <w:rFonts w:ascii="Times New Roman" w:eastAsia="Times New Roman" w:hAnsi="Times New Roman" w:cs="Times New Roman"/>
                <w:sz w:val="22"/>
                <w:lang w:eastAsia="en-GB"/>
              </w:rPr>
              <w:t>Within 45 minutes from the start of Matching Process</w:t>
            </w:r>
          </w:p>
          <w:p w14:paraId="65B39263" w14:textId="77777777" w:rsidR="00515001" w:rsidRPr="00515001" w:rsidRDefault="00515001" w:rsidP="00515001">
            <w:pPr>
              <w:rPr>
                <w:rFonts w:ascii="Times New Roman" w:eastAsia="Times New Roman" w:hAnsi="Times New Roman" w:cs="Times New Roman"/>
                <w:sz w:val="22"/>
                <w:lang w:eastAsia="en-GB"/>
              </w:rPr>
            </w:pPr>
          </w:p>
          <w:p w14:paraId="6FA7AFB5" w14:textId="77777777" w:rsidR="00515001" w:rsidRDefault="00515001" w:rsidP="00515001">
            <w:pPr>
              <w:rPr>
                <w:rFonts w:ascii="Times New Roman" w:eastAsia="Times New Roman" w:hAnsi="Times New Roman" w:cs="Times New Roman"/>
                <w:sz w:val="22"/>
                <w:lang w:eastAsia="en-GB"/>
              </w:rPr>
            </w:pPr>
          </w:p>
          <w:p w14:paraId="41D20755" w14:textId="3503D8FA" w:rsidR="00515001" w:rsidRPr="00515001" w:rsidRDefault="00515001" w:rsidP="00515001">
            <w:pPr>
              <w:ind w:firstLine="720"/>
              <w:rPr>
                <w:rFonts w:ascii="Times New Roman" w:eastAsia="Times New Roman" w:hAnsi="Times New Roman" w:cs="Times New Roman"/>
                <w:sz w:val="22"/>
                <w:lang w:eastAsia="en-GB"/>
              </w:rPr>
            </w:pPr>
          </w:p>
        </w:tc>
      </w:tr>
      <w:tr w:rsidR="00515001" w:rsidRPr="00515001" w14:paraId="7C287FAD" w14:textId="77777777" w:rsidTr="00565141">
        <w:tc>
          <w:tcPr>
            <w:tcW w:w="1884" w:type="pct"/>
            <w:tcBorders>
              <w:top w:val="nil"/>
              <w:left w:val="single" w:sz="4" w:space="0" w:color="auto"/>
              <w:bottom w:val="single" w:sz="4" w:space="0" w:color="auto"/>
              <w:right w:val="single" w:sz="4" w:space="0" w:color="auto"/>
            </w:tcBorders>
            <w:shd w:val="clear" w:color="auto" w:fill="auto"/>
            <w:hideMark/>
          </w:tcPr>
          <w:p w14:paraId="32E1E303" w14:textId="375959CF" w:rsidR="00515001" w:rsidRPr="00515001" w:rsidRDefault="00515001" w:rsidP="00565141">
            <w:pPr>
              <w:jc w:val="both"/>
              <w:rPr>
                <w:rFonts w:ascii="Times New Roman" w:eastAsia="Times New Roman" w:hAnsi="Times New Roman" w:cs="Times New Roman"/>
                <w:sz w:val="22"/>
                <w:lang w:eastAsia="en-GB"/>
              </w:rPr>
            </w:pPr>
            <w:r w:rsidRPr="00515001">
              <w:rPr>
                <w:rFonts w:ascii="Times New Roman" w:eastAsia="Times New Roman" w:hAnsi="Times New Roman" w:cs="Times New Roman"/>
                <w:sz w:val="22"/>
                <w:lang w:eastAsia="en-GB"/>
              </w:rPr>
              <w:t xml:space="preserve">Matching TSO forwards to Initiating TSO </w:t>
            </w:r>
          </w:p>
        </w:tc>
        <w:tc>
          <w:tcPr>
            <w:tcW w:w="3116" w:type="pct"/>
            <w:tcBorders>
              <w:top w:val="nil"/>
              <w:left w:val="nil"/>
              <w:bottom w:val="single" w:sz="4" w:space="0" w:color="auto"/>
              <w:right w:val="single" w:sz="4" w:space="0" w:color="auto"/>
            </w:tcBorders>
            <w:shd w:val="clear" w:color="auto" w:fill="auto"/>
            <w:noWrap/>
            <w:hideMark/>
          </w:tcPr>
          <w:p w14:paraId="1ECEBCAA" w14:textId="77777777" w:rsidR="00515001" w:rsidRPr="00515001" w:rsidRDefault="00515001" w:rsidP="00565141">
            <w:pPr>
              <w:jc w:val="both"/>
              <w:rPr>
                <w:rFonts w:ascii="Times New Roman" w:eastAsia="Times New Roman" w:hAnsi="Times New Roman" w:cs="Times New Roman"/>
                <w:sz w:val="22"/>
                <w:lang w:eastAsia="en-GB"/>
              </w:rPr>
            </w:pPr>
            <w:r w:rsidRPr="00515001">
              <w:rPr>
                <w:rFonts w:ascii="Times New Roman" w:eastAsia="Times New Roman" w:hAnsi="Times New Roman" w:cs="Times New Roman"/>
                <w:sz w:val="22"/>
                <w:lang w:eastAsia="en-GB"/>
              </w:rPr>
              <w:t>Within 90 minutes from the start of Matching Process</w:t>
            </w:r>
          </w:p>
        </w:tc>
      </w:tr>
      <w:tr w:rsidR="00515001" w:rsidRPr="00515001" w14:paraId="39C56B36" w14:textId="77777777" w:rsidTr="00565141">
        <w:tc>
          <w:tcPr>
            <w:tcW w:w="1884" w:type="pct"/>
            <w:tcBorders>
              <w:top w:val="nil"/>
              <w:left w:val="single" w:sz="4" w:space="0" w:color="auto"/>
              <w:bottom w:val="single" w:sz="4" w:space="0" w:color="auto"/>
              <w:right w:val="single" w:sz="4" w:space="0" w:color="auto"/>
            </w:tcBorders>
            <w:shd w:val="clear" w:color="auto" w:fill="auto"/>
            <w:hideMark/>
          </w:tcPr>
          <w:p w14:paraId="38B6F959" w14:textId="77777777" w:rsidR="00515001" w:rsidRPr="00515001" w:rsidRDefault="00515001" w:rsidP="00565141">
            <w:pPr>
              <w:jc w:val="both"/>
              <w:rPr>
                <w:rFonts w:ascii="Times New Roman" w:eastAsia="Times New Roman" w:hAnsi="Times New Roman" w:cs="Times New Roman"/>
                <w:sz w:val="22"/>
                <w:lang w:eastAsia="en-GB"/>
              </w:rPr>
            </w:pPr>
            <w:r w:rsidRPr="00515001">
              <w:rPr>
                <w:rFonts w:ascii="Times New Roman" w:eastAsia="Times New Roman" w:hAnsi="Times New Roman" w:cs="Times New Roman"/>
                <w:sz w:val="22"/>
                <w:lang w:eastAsia="en-GB"/>
              </w:rPr>
              <w:t>TSOs notify the Confirmed Quantities (Confirmed Nominations) to Shippers</w:t>
            </w:r>
          </w:p>
        </w:tc>
        <w:tc>
          <w:tcPr>
            <w:tcW w:w="3116" w:type="pct"/>
            <w:tcBorders>
              <w:top w:val="nil"/>
              <w:left w:val="nil"/>
              <w:bottom w:val="single" w:sz="4" w:space="0" w:color="auto"/>
              <w:right w:val="single" w:sz="4" w:space="0" w:color="auto"/>
            </w:tcBorders>
            <w:shd w:val="clear" w:color="auto" w:fill="auto"/>
            <w:noWrap/>
            <w:hideMark/>
          </w:tcPr>
          <w:p w14:paraId="5E889B94" w14:textId="77777777" w:rsidR="00515001" w:rsidRPr="00515001" w:rsidRDefault="00515001" w:rsidP="00565141">
            <w:pPr>
              <w:jc w:val="both"/>
              <w:rPr>
                <w:rFonts w:ascii="Times New Roman" w:eastAsia="Times New Roman" w:hAnsi="Times New Roman" w:cs="Times New Roman"/>
                <w:sz w:val="22"/>
                <w:lang w:eastAsia="en-GB"/>
              </w:rPr>
            </w:pPr>
            <w:r w:rsidRPr="00515001">
              <w:rPr>
                <w:rFonts w:ascii="Times New Roman" w:eastAsia="Times New Roman" w:hAnsi="Times New Roman" w:cs="Times New Roman"/>
                <w:sz w:val="22"/>
                <w:lang w:eastAsia="en-GB"/>
              </w:rPr>
              <w:t>Within 120 minutes from the start of Matching Process</w:t>
            </w:r>
          </w:p>
        </w:tc>
      </w:tr>
    </w:tbl>
    <w:p w14:paraId="65AEC66A" w14:textId="77777777" w:rsidR="00515001" w:rsidRPr="00515001" w:rsidRDefault="00515001" w:rsidP="00515001">
      <w:pPr>
        <w:spacing w:line="264" w:lineRule="auto"/>
        <w:ind w:left="377"/>
        <w:jc w:val="both"/>
        <w:rPr>
          <w:rFonts w:ascii="Times New Roman" w:hAnsi="Times New Roman" w:cs="Times New Roman"/>
          <w:color w:val="000000" w:themeColor="text1"/>
          <w:sz w:val="22"/>
        </w:rPr>
      </w:pPr>
    </w:p>
    <w:p w14:paraId="7CFEBB81" w14:textId="563EDBC0" w:rsidR="00515001" w:rsidRPr="00515001"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If aggregated</w:t>
      </w:r>
      <w:r w:rsidR="00EF07BC">
        <w:rPr>
          <w:rFonts w:ascii="Times New Roman" w:hAnsi="Times New Roman" w:cs="Times New Roman"/>
          <w:sz w:val="22"/>
        </w:rPr>
        <w:t xml:space="preserve"> Confirmed</w:t>
      </w:r>
      <w:r w:rsidRPr="00515001">
        <w:rPr>
          <w:rFonts w:ascii="Times New Roman" w:hAnsi="Times New Roman" w:cs="Times New Roman"/>
          <w:sz w:val="22"/>
        </w:rPr>
        <w:t xml:space="preserve"> Nominations are larger than </w:t>
      </w:r>
      <w:r w:rsidR="00EF07BC">
        <w:rPr>
          <w:rFonts w:ascii="Times New Roman" w:hAnsi="Times New Roman" w:cs="Times New Roman"/>
          <w:sz w:val="22"/>
        </w:rPr>
        <w:t>T</w:t>
      </w:r>
      <w:r w:rsidRPr="00515001">
        <w:rPr>
          <w:rFonts w:ascii="Times New Roman" w:hAnsi="Times New Roman" w:cs="Times New Roman"/>
          <w:sz w:val="22"/>
        </w:rPr>
        <w:t xml:space="preserve">echnical </w:t>
      </w:r>
      <w:r w:rsidR="00EF07BC">
        <w:rPr>
          <w:rFonts w:ascii="Times New Roman" w:hAnsi="Times New Roman" w:cs="Times New Roman"/>
          <w:sz w:val="22"/>
        </w:rPr>
        <w:t>C</w:t>
      </w:r>
      <w:r w:rsidRPr="00515001">
        <w:rPr>
          <w:rFonts w:ascii="Times New Roman" w:hAnsi="Times New Roman" w:cs="Times New Roman"/>
          <w:sz w:val="22"/>
        </w:rPr>
        <w:t>apacity</w:t>
      </w:r>
      <w:r w:rsidR="00E83CAC">
        <w:rPr>
          <w:rFonts w:ascii="Times New Roman" w:hAnsi="Times New Roman" w:cs="Times New Roman"/>
          <w:sz w:val="22"/>
        </w:rPr>
        <w:t>,</w:t>
      </w:r>
      <w:r w:rsidRPr="00515001">
        <w:rPr>
          <w:rFonts w:ascii="Times New Roman" w:hAnsi="Times New Roman" w:cs="Times New Roman"/>
          <w:sz w:val="22"/>
        </w:rPr>
        <w:t xml:space="preserve"> the congestion management rules are applied by each TSO described </w:t>
      </w:r>
      <w:r w:rsidRPr="00CC7D9B">
        <w:rPr>
          <w:rFonts w:ascii="Times New Roman" w:hAnsi="Times New Roman" w:cs="Times New Roman"/>
          <w:sz w:val="22"/>
        </w:rPr>
        <w:t>in</w:t>
      </w:r>
      <w:r w:rsidR="00113331" w:rsidRPr="00CC7D9B">
        <w:rPr>
          <w:rFonts w:ascii="Times New Roman" w:hAnsi="Times New Roman" w:cs="Times New Roman"/>
          <w:sz w:val="22"/>
        </w:rPr>
        <w:t xml:space="preserve"> section ‘</w:t>
      </w:r>
      <w:r w:rsidRPr="00CC7D9B">
        <w:rPr>
          <w:rFonts w:ascii="Times New Roman" w:hAnsi="Times New Roman" w:cs="Times New Roman"/>
          <w:sz w:val="22"/>
        </w:rPr>
        <w:t>Implicit Capacity Allocation and Congestion Management</w:t>
      </w:r>
      <w:r w:rsidR="00113331" w:rsidRPr="00CC7D9B">
        <w:rPr>
          <w:rFonts w:ascii="Times New Roman" w:hAnsi="Times New Roman" w:cs="Times New Roman"/>
          <w:sz w:val="22"/>
        </w:rPr>
        <w:t>’ below</w:t>
      </w:r>
      <w:r w:rsidRPr="00CC7D9B">
        <w:rPr>
          <w:rFonts w:ascii="Times New Roman" w:hAnsi="Times New Roman" w:cs="Times New Roman"/>
          <w:sz w:val="22"/>
        </w:rPr>
        <w:t>.</w:t>
      </w:r>
    </w:p>
    <w:p w14:paraId="536C2C63" w14:textId="6BB764D4" w:rsidR="00515001" w:rsidRPr="00515001"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 xml:space="preserve">Information of the data exchange for the </w:t>
      </w:r>
      <w:r w:rsidR="00B86FF1">
        <w:rPr>
          <w:rFonts w:ascii="Times New Roman" w:hAnsi="Times New Roman" w:cs="Times New Roman"/>
          <w:sz w:val="22"/>
        </w:rPr>
        <w:t>M</w:t>
      </w:r>
      <w:r w:rsidRPr="00515001">
        <w:rPr>
          <w:rFonts w:ascii="Times New Roman" w:hAnsi="Times New Roman" w:cs="Times New Roman"/>
          <w:sz w:val="22"/>
        </w:rPr>
        <w:t xml:space="preserve">atching </w:t>
      </w:r>
      <w:r w:rsidR="00B86FF1">
        <w:rPr>
          <w:rFonts w:ascii="Times New Roman" w:hAnsi="Times New Roman" w:cs="Times New Roman"/>
          <w:sz w:val="22"/>
        </w:rPr>
        <w:t>P</w:t>
      </w:r>
      <w:r w:rsidRPr="00515001">
        <w:rPr>
          <w:rFonts w:ascii="Times New Roman" w:hAnsi="Times New Roman" w:cs="Times New Roman"/>
          <w:sz w:val="22"/>
        </w:rPr>
        <w:t>rocess shall contain at least the following information:</w:t>
      </w:r>
    </w:p>
    <w:p w14:paraId="77EFBAC9" w14:textId="77777777" w:rsidR="00515001" w:rsidRPr="00515001" w:rsidRDefault="00515001" w:rsidP="00515001">
      <w:pPr>
        <w:pStyle w:val="Luettelokappale"/>
        <w:numPr>
          <w:ilvl w:val="2"/>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The EIC of the Shipper submitting the Nomination;</w:t>
      </w:r>
    </w:p>
    <w:p w14:paraId="42DDB5A5" w14:textId="77777777" w:rsidR="00515001" w:rsidRPr="00515001" w:rsidRDefault="00515001" w:rsidP="00515001">
      <w:pPr>
        <w:pStyle w:val="Luettelokappale"/>
        <w:numPr>
          <w:ilvl w:val="2"/>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The EIC of the Counterparty Shipper specified;</w:t>
      </w:r>
    </w:p>
    <w:p w14:paraId="4E8E41E6" w14:textId="77777777" w:rsidR="00515001" w:rsidRPr="00515001" w:rsidRDefault="00515001" w:rsidP="00515001">
      <w:pPr>
        <w:pStyle w:val="Luettelokappale"/>
        <w:numPr>
          <w:ilvl w:val="2"/>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The Gas Day(s) to which the Nomination relates;</w:t>
      </w:r>
    </w:p>
    <w:p w14:paraId="4282EEEB" w14:textId="77777777" w:rsidR="00515001" w:rsidRPr="00515001" w:rsidRDefault="00515001" w:rsidP="00515001">
      <w:pPr>
        <w:pStyle w:val="Luettelokappale"/>
        <w:numPr>
          <w:ilvl w:val="2"/>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The direction of the gas flow;</w:t>
      </w:r>
    </w:p>
    <w:p w14:paraId="34148976" w14:textId="77777777" w:rsidR="00515001" w:rsidRPr="00515001" w:rsidRDefault="00515001" w:rsidP="00515001">
      <w:pPr>
        <w:pStyle w:val="Luettelokappale"/>
        <w:numPr>
          <w:ilvl w:val="2"/>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The Nomination Quantity</w:t>
      </w:r>
    </w:p>
    <w:p w14:paraId="12EA306A" w14:textId="77777777" w:rsidR="00515001" w:rsidRPr="00515001" w:rsidRDefault="00515001" w:rsidP="00515001">
      <w:pPr>
        <w:pStyle w:val="Luettelokappale"/>
        <w:numPr>
          <w:ilvl w:val="3"/>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proofErr w:type="spellStart"/>
      <w:r w:rsidRPr="00515001">
        <w:rPr>
          <w:rFonts w:ascii="Times New Roman" w:hAnsi="Times New Roman" w:cs="Times New Roman"/>
          <w:sz w:val="22"/>
        </w:rPr>
        <w:t>Elering</w:t>
      </w:r>
      <w:proofErr w:type="spellEnd"/>
      <w:r w:rsidRPr="00515001">
        <w:rPr>
          <w:rFonts w:ascii="Times New Roman" w:hAnsi="Times New Roman" w:cs="Times New Roman"/>
          <w:sz w:val="22"/>
        </w:rPr>
        <w:t xml:space="preserve"> AS shall receive Nomination Quantities in format kWh/d while FIN TSO shall receive Nomination Quantities in format kWh/h. To perform matching process by FIN TSO, </w:t>
      </w:r>
      <w:proofErr w:type="spellStart"/>
      <w:r w:rsidRPr="00515001">
        <w:rPr>
          <w:rFonts w:ascii="Times New Roman" w:hAnsi="Times New Roman" w:cs="Times New Roman"/>
          <w:sz w:val="22"/>
        </w:rPr>
        <w:t>Elering</w:t>
      </w:r>
      <w:proofErr w:type="spellEnd"/>
      <w:r w:rsidRPr="00515001">
        <w:rPr>
          <w:rFonts w:ascii="Times New Roman" w:hAnsi="Times New Roman" w:cs="Times New Roman"/>
          <w:sz w:val="22"/>
        </w:rPr>
        <w:t xml:space="preserve"> AS shall transform the Nominations in kWh/d to kWh/h before forwarding the them for FIN TSO. FIN TSO shall send the Accepted Nominations back to </w:t>
      </w:r>
      <w:proofErr w:type="spellStart"/>
      <w:r w:rsidRPr="00515001">
        <w:rPr>
          <w:rFonts w:ascii="Times New Roman" w:hAnsi="Times New Roman" w:cs="Times New Roman"/>
          <w:sz w:val="22"/>
        </w:rPr>
        <w:t>Elering</w:t>
      </w:r>
      <w:proofErr w:type="spellEnd"/>
      <w:r w:rsidRPr="00515001">
        <w:rPr>
          <w:rFonts w:ascii="Times New Roman" w:hAnsi="Times New Roman" w:cs="Times New Roman"/>
          <w:sz w:val="22"/>
        </w:rPr>
        <w:t xml:space="preserve"> AS in kWh/h. FIN TSO sends the Confirmed Nominations to respective Shippers in kWh/h and </w:t>
      </w:r>
      <w:proofErr w:type="spellStart"/>
      <w:r w:rsidRPr="00515001">
        <w:rPr>
          <w:rFonts w:ascii="Times New Roman" w:hAnsi="Times New Roman" w:cs="Times New Roman"/>
          <w:sz w:val="22"/>
        </w:rPr>
        <w:t>Elering</w:t>
      </w:r>
      <w:proofErr w:type="spellEnd"/>
      <w:r w:rsidRPr="00515001">
        <w:rPr>
          <w:rFonts w:ascii="Times New Roman" w:hAnsi="Times New Roman" w:cs="Times New Roman"/>
          <w:sz w:val="22"/>
        </w:rPr>
        <w:t xml:space="preserve"> AS sends the Confirmed Nominations back to the respective Shippers in kWh/d.  </w:t>
      </w:r>
    </w:p>
    <w:p w14:paraId="40A975BD" w14:textId="77777777" w:rsidR="00515001" w:rsidRPr="00515001"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eastAsia="Arial" w:hAnsi="Times New Roman" w:cs="Times New Roman"/>
          <w:sz w:val="22"/>
        </w:rPr>
        <w:t xml:space="preserve">In the absence of a valid Nomination and/or </w:t>
      </w:r>
      <w:proofErr w:type="spellStart"/>
      <w:r w:rsidRPr="00515001">
        <w:rPr>
          <w:rFonts w:ascii="Times New Roman" w:eastAsia="Arial" w:hAnsi="Times New Roman" w:cs="Times New Roman"/>
          <w:sz w:val="22"/>
        </w:rPr>
        <w:t>Renomination</w:t>
      </w:r>
      <w:proofErr w:type="spellEnd"/>
      <w:r w:rsidRPr="00515001">
        <w:rPr>
          <w:rFonts w:ascii="Times New Roman" w:eastAsia="Arial" w:hAnsi="Times New Roman" w:cs="Times New Roman"/>
          <w:sz w:val="22"/>
        </w:rPr>
        <w:t xml:space="preserve"> sent by Shipper before the nomination deadline, the nomination </w:t>
      </w:r>
      <w:proofErr w:type="gramStart"/>
      <w:r w:rsidRPr="00515001">
        <w:rPr>
          <w:rFonts w:ascii="Times New Roman" w:eastAsia="Arial" w:hAnsi="Times New Roman" w:cs="Times New Roman"/>
          <w:sz w:val="22"/>
        </w:rPr>
        <w:t>is considered to be</w:t>
      </w:r>
      <w:proofErr w:type="gramEnd"/>
      <w:r w:rsidRPr="00515001">
        <w:rPr>
          <w:rFonts w:ascii="Times New Roman" w:eastAsia="Arial" w:hAnsi="Times New Roman" w:cs="Times New Roman"/>
          <w:sz w:val="22"/>
        </w:rPr>
        <w:t xml:space="preserve"> zero. </w:t>
      </w:r>
    </w:p>
    <w:p w14:paraId="4016A8DB" w14:textId="77777777" w:rsidR="00515001" w:rsidRPr="00515001"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Coordinated and Confirmed Nominations will be used in system operations as final gas allocations for each Shipper at interconnection point.</w:t>
      </w:r>
    </w:p>
    <w:p w14:paraId="4058A131" w14:textId="5F17FB1A" w:rsidR="00515001" w:rsidRPr="001C206D"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1C206D">
        <w:rPr>
          <w:rFonts w:ascii="Times New Roman" w:hAnsi="Times New Roman" w:cs="Times New Roman"/>
          <w:sz w:val="22"/>
        </w:rPr>
        <w:t>In case of interruption request due to unexpected capacity deficit the Interruption Process is applied as described under</w:t>
      </w:r>
      <w:r w:rsidR="00166936" w:rsidRPr="001C206D">
        <w:rPr>
          <w:rFonts w:ascii="Times New Roman" w:hAnsi="Times New Roman" w:cs="Times New Roman"/>
          <w:sz w:val="22"/>
        </w:rPr>
        <w:t xml:space="preserve"> section</w:t>
      </w:r>
      <w:r w:rsidRPr="001C206D">
        <w:rPr>
          <w:rFonts w:ascii="Times New Roman" w:hAnsi="Times New Roman" w:cs="Times New Roman"/>
          <w:sz w:val="22"/>
        </w:rPr>
        <w:t xml:space="preserve"> </w:t>
      </w:r>
      <w:r w:rsidR="00166936" w:rsidRPr="001C206D">
        <w:rPr>
          <w:rFonts w:ascii="Times New Roman" w:hAnsi="Times New Roman" w:cs="Times New Roman"/>
          <w:sz w:val="22"/>
        </w:rPr>
        <w:t>‘</w:t>
      </w:r>
      <w:r w:rsidRPr="001C206D">
        <w:rPr>
          <w:rFonts w:ascii="Times New Roman" w:hAnsi="Times New Roman" w:cs="Times New Roman"/>
          <w:sz w:val="22"/>
        </w:rPr>
        <w:t>Exceptional Events and Gas Deficit Emergencies</w:t>
      </w:r>
      <w:r w:rsidR="00166936" w:rsidRPr="001C206D">
        <w:rPr>
          <w:rFonts w:ascii="Times New Roman" w:hAnsi="Times New Roman" w:cs="Times New Roman"/>
          <w:sz w:val="22"/>
        </w:rPr>
        <w:t>’ below.</w:t>
      </w:r>
    </w:p>
    <w:p w14:paraId="3E00604F" w14:textId="4B0BF79B" w:rsidR="00515001" w:rsidRPr="005F46EF" w:rsidRDefault="00515001" w:rsidP="00515001">
      <w:pPr>
        <w:pStyle w:val="Luettelokappale"/>
        <w:numPr>
          <w:ilvl w:val="1"/>
          <w:numId w:val="3"/>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The need for interruption is checked during each Matching Process by Initiating and Matching TSOs. If interruption causes limitation to Shippers’ confirmed quantities, the Shippers are notified using interruption notification. Exact Interruption Process applied by each TSO is described in the transmission service agreement of each TSO.</w:t>
      </w:r>
    </w:p>
    <w:p w14:paraId="2F7B872C" w14:textId="77777777" w:rsidR="00515001" w:rsidRPr="00515001" w:rsidRDefault="00515001" w:rsidP="00515001">
      <w:pPr>
        <w:jc w:val="both"/>
        <w:rPr>
          <w:rFonts w:ascii="Times New Roman" w:hAnsi="Times New Roman" w:cs="Times New Roman"/>
          <w:color w:val="000000" w:themeColor="text1"/>
          <w:sz w:val="22"/>
        </w:rPr>
      </w:pPr>
    </w:p>
    <w:p w14:paraId="30FD7FF9" w14:textId="77777777" w:rsidR="00515001" w:rsidRPr="00515001" w:rsidRDefault="00515001" w:rsidP="00515001">
      <w:pPr>
        <w:jc w:val="both"/>
        <w:rPr>
          <w:rFonts w:ascii="Times New Roman" w:hAnsi="Times New Roman" w:cs="Times New Roman"/>
          <w:color w:val="000000" w:themeColor="text1"/>
          <w:sz w:val="22"/>
        </w:rPr>
      </w:pPr>
    </w:p>
    <w:p w14:paraId="082336E5" w14:textId="77777777" w:rsidR="00515001" w:rsidRPr="00515001" w:rsidRDefault="00515001" w:rsidP="00515001">
      <w:pPr>
        <w:jc w:val="both"/>
        <w:rPr>
          <w:rFonts w:ascii="Times New Roman" w:hAnsi="Times New Roman" w:cs="Times New Roman"/>
          <w:color w:val="000000" w:themeColor="text1"/>
          <w:sz w:val="22"/>
        </w:rPr>
      </w:pPr>
    </w:p>
    <w:p w14:paraId="49FDB4F3" w14:textId="77777777" w:rsidR="00515001" w:rsidRPr="00630F8F" w:rsidRDefault="00515001" w:rsidP="00515001">
      <w:pPr>
        <w:jc w:val="both"/>
        <w:rPr>
          <w:rFonts w:ascii="Calibri" w:eastAsia="Times New Roman" w:hAnsi="Calibri" w:cs="Times New Roman"/>
          <w:b/>
          <w:color w:val="000000"/>
          <w:sz w:val="36"/>
          <w:lang w:eastAsia="en-GB"/>
        </w:rPr>
      </w:pPr>
      <w:r w:rsidRPr="00630F8F">
        <w:rPr>
          <w:rFonts w:ascii="Calibri" w:eastAsia="Times New Roman" w:hAnsi="Calibri" w:cs="Times New Roman"/>
          <w:b/>
          <w:color w:val="000000"/>
          <w:sz w:val="36"/>
          <w:lang w:eastAsia="en-GB"/>
        </w:rPr>
        <w:t>Questions/Proposals related to matching</w:t>
      </w:r>
    </w:p>
    <w:p w14:paraId="2513AC3D" w14:textId="77777777" w:rsidR="00515001" w:rsidRPr="00515001" w:rsidRDefault="00515001" w:rsidP="00515001">
      <w:pPr>
        <w:jc w:val="both"/>
        <w:rPr>
          <w:rFonts w:ascii="Times New Roman" w:hAnsi="Times New Roman" w:cs="Times New Roman"/>
          <w:b/>
          <w:color w:val="000000" w:themeColor="text1"/>
          <w:sz w:val="22"/>
        </w:rPr>
      </w:pPr>
    </w:p>
    <w:p w14:paraId="7EC37174" w14:textId="77777777" w:rsidR="00515001" w:rsidRPr="00515001" w:rsidRDefault="00515001" w:rsidP="00515001">
      <w:pPr>
        <w:jc w:val="both"/>
        <w:rPr>
          <w:rFonts w:ascii="Times New Roman" w:hAnsi="Times New Roman" w:cs="Times New Roman"/>
          <w:b/>
          <w:color w:val="000000" w:themeColor="text1"/>
          <w:sz w:val="22"/>
        </w:rPr>
      </w:pPr>
      <w:r w:rsidRPr="00515001">
        <w:rPr>
          <w:rFonts w:ascii="Times New Roman" w:hAnsi="Times New Roman" w:cs="Times New Roman"/>
          <w:b/>
          <w:color w:val="000000" w:themeColor="text1"/>
          <w:sz w:val="22"/>
        </w:rPr>
        <w:t xml:space="preserve">For the above section, please find questions raised by TSOs for which TSOs would appreciate feedback from stakeholders. Stakeholders are encouraged to add the open question/issues to the table below. </w:t>
      </w:r>
    </w:p>
    <w:p w14:paraId="2AE4726B" w14:textId="77777777" w:rsidR="00515001" w:rsidRPr="00515001" w:rsidRDefault="00515001" w:rsidP="00515001">
      <w:pPr>
        <w:jc w:val="both"/>
        <w:rPr>
          <w:rFonts w:ascii="Times New Roman" w:hAnsi="Times New Roman" w:cs="Times New Roman"/>
          <w:b/>
          <w:color w:val="000000" w:themeColor="text1"/>
          <w:sz w:val="22"/>
        </w:rPr>
      </w:pPr>
    </w:p>
    <w:tbl>
      <w:tblPr>
        <w:tblStyle w:val="TaulukkoRuudukko"/>
        <w:tblW w:w="5038" w:type="pct"/>
        <w:tblLook w:val="04A0" w:firstRow="1" w:lastRow="0" w:firstColumn="1" w:lastColumn="0" w:noHBand="0" w:noVBand="1"/>
      </w:tblPr>
      <w:tblGrid>
        <w:gridCol w:w="1249"/>
        <w:gridCol w:w="5279"/>
        <w:gridCol w:w="3339"/>
      </w:tblGrid>
      <w:tr w:rsidR="00515001" w:rsidRPr="00515001" w14:paraId="74621BAB" w14:textId="77777777" w:rsidTr="005E7BEF">
        <w:tc>
          <w:tcPr>
            <w:tcW w:w="633" w:type="pct"/>
          </w:tcPr>
          <w:p w14:paraId="19062F57"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Reference</w:t>
            </w:r>
          </w:p>
        </w:tc>
        <w:tc>
          <w:tcPr>
            <w:tcW w:w="2675" w:type="pct"/>
          </w:tcPr>
          <w:p w14:paraId="1D52E67D"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Question/Issue</w:t>
            </w:r>
          </w:p>
        </w:tc>
        <w:tc>
          <w:tcPr>
            <w:tcW w:w="1692" w:type="pct"/>
          </w:tcPr>
          <w:p w14:paraId="106100A3"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Stakeholder comment</w:t>
            </w:r>
          </w:p>
        </w:tc>
      </w:tr>
      <w:tr w:rsidR="00515001" w:rsidRPr="00515001" w14:paraId="5869223D" w14:textId="77777777" w:rsidTr="005E7BEF">
        <w:tc>
          <w:tcPr>
            <w:tcW w:w="633" w:type="pct"/>
          </w:tcPr>
          <w:p w14:paraId="72CC60A2" w14:textId="714F4982"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1.1</w:t>
            </w:r>
            <w:r w:rsidR="00DD6BD2">
              <w:rPr>
                <w:rFonts w:ascii="Times New Roman" w:hAnsi="Times New Roman" w:cs="Times New Roman"/>
                <w:color w:val="000000" w:themeColor="text1"/>
                <w:sz w:val="22"/>
              </w:rPr>
              <w:t>4</w:t>
            </w:r>
            <w:r w:rsidRPr="00515001">
              <w:rPr>
                <w:rFonts w:ascii="Times New Roman" w:hAnsi="Times New Roman" w:cs="Times New Roman"/>
                <w:color w:val="000000" w:themeColor="text1"/>
                <w:sz w:val="22"/>
              </w:rPr>
              <w:t>.5.1</w:t>
            </w:r>
          </w:p>
        </w:tc>
        <w:tc>
          <w:tcPr>
            <w:tcW w:w="2675" w:type="pct"/>
          </w:tcPr>
          <w:p w14:paraId="25A42E40" w14:textId="6C6B065F"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In accordance to </w:t>
            </w:r>
            <w:r w:rsidR="00BE543B" w:rsidRPr="00A30EB3">
              <w:rPr>
                <w:rFonts w:ascii="Times New Roman" w:hAnsi="Times New Roman" w:cs="Times New Roman"/>
                <w:bCs/>
                <w:sz w:val="22"/>
                <w:szCs w:val="27"/>
                <w:shd w:val="clear" w:color="auto" w:fill="FFFFFF"/>
              </w:rPr>
              <w:t>C</w:t>
            </w:r>
            <w:r w:rsidR="00BE543B">
              <w:rPr>
                <w:rFonts w:ascii="Times New Roman" w:hAnsi="Times New Roman" w:cs="Times New Roman"/>
                <w:bCs/>
                <w:sz w:val="22"/>
                <w:szCs w:val="27"/>
                <w:shd w:val="clear" w:color="auto" w:fill="FFFFFF"/>
              </w:rPr>
              <w:t xml:space="preserve">ommission Regulation </w:t>
            </w:r>
            <w:r w:rsidR="00BE543B" w:rsidRPr="00A30EB3">
              <w:rPr>
                <w:rFonts w:ascii="Times New Roman" w:hAnsi="Times New Roman" w:cs="Times New Roman"/>
                <w:bCs/>
                <w:sz w:val="22"/>
                <w:szCs w:val="27"/>
                <w:shd w:val="clear" w:color="auto" w:fill="FFFFFF"/>
              </w:rPr>
              <w:t>(EU)</w:t>
            </w:r>
            <w:r w:rsidR="00BE543B" w:rsidRPr="002A6824">
              <w:rPr>
                <w:rFonts w:ascii="Times New Roman" w:hAnsi="Times New Roman" w:cs="Times New Roman"/>
                <w:color w:val="000000" w:themeColor="text1"/>
              </w:rPr>
              <w:t xml:space="preserve"> </w:t>
            </w:r>
            <w:r w:rsidR="00BE543B" w:rsidRPr="002A6824">
              <w:rPr>
                <w:rFonts w:ascii="Times New Roman" w:hAnsi="Times New Roman" w:cs="Times New Roman"/>
                <w:bCs/>
                <w:sz w:val="22"/>
                <w:szCs w:val="27"/>
                <w:shd w:val="clear" w:color="auto" w:fill="FFFFFF"/>
              </w:rPr>
              <w:t>No 312/</w:t>
            </w:r>
            <w:r w:rsidR="0080573B">
              <w:rPr>
                <w:rFonts w:ascii="Times New Roman" w:hAnsi="Times New Roman" w:cs="Times New Roman"/>
                <w:bCs/>
                <w:sz w:val="22"/>
                <w:szCs w:val="27"/>
                <w:shd w:val="clear" w:color="auto" w:fill="FFFFFF"/>
              </w:rPr>
              <w:t>2014 (</w:t>
            </w:r>
            <w:r w:rsidRPr="00515001">
              <w:rPr>
                <w:rFonts w:ascii="Times New Roman" w:hAnsi="Times New Roman" w:cs="Times New Roman"/>
                <w:color w:val="000000" w:themeColor="text1"/>
                <w:sz w:val="22"/>
              </w:rPr>
              <w:t>BAL NC</w:t>
            </w:r>
            <w:r w:rsidR="0080573B">
              <w:rPr>
                <w:rFonts w:ascii="Times New Roman" w:hAnsi="Times New Roman" w:cs="Times New Roman"/>
                <w:color w:val="000000" w:themeColor="text1"/>
                <w:sz w:val="22"/>
              </w:rPr>
              <w:t>)</w:t>
            </w:r>
            <w:r w:rsidRPr="00515001">
              <w:rPr>
                <w:rFonts w:ascii="Times New Roman" w:hAnsi="Times New Roman" w:cs="Times New Roman"/>
                <w:color w:val="000000" w:themeColor="text1"/>
                <w:sz w:val="22"/>
              </w:rPr>
              <w:t xml:space="preserve"> article 16 TSOs would like to consult all the stakeholders on the harmonisation of the nomination provision. W</w:t>
            </w:r>
            <w:r>
              <w:rPr>
                <w:rFonts w:ascii="Times New Roman" w:hAnsi="Times New Roman" w:cs="Times New Roman"/>
                <w:color w:val="000000" w:themeColor="text1"/>
                <w:sz w:val="22"/>
              </w:rPr>
              <w:t>i</w:t>
            </w:r>
            <w:r w:rsidRPr="00515001">
              <w:rPr>
                <w:rFonts w:ascii="Times New Roman" w:hAnsi="Times New Roman" w:cs="Times New Roman"/>
                <w:color w:val="000000" w:themeColor="text1"/>
                <w:sz w:val="22"/>
              </w:rPr>
              <w:t>th the current setup FI</w:t>
            </w:r>
            <w:r>
              <w:rPr>
                <w:rFonts w:ascii="Times New Roman" w:hAnsi="Times New Roman" w:cs="Times New Roman"/>
                <w:color w:val="000000" w:themeColor="text1"/>
                <w:sz w:val="22"/>
              </w:rPr>
              <w:t xml:space="preserve">N </w:t>
            </w:r>
            <w:r w:rsidRPr="00515001">
              <w:rPr>
                <w:rFonts w:ascii="Times New Roman" w:hAnsi="Times New Roman" w:cs="Times New Roman"/>
                <w:color w:val="000000" w:themeColor="text1"/>
                <w:sz w:val="22"/>
              </w:rPr>
              <w:t xml:space="preserve">TSO </w:t>
            </w:r>
            <w:r>
              <w:rPr>
                <w:rFonts w:ascii="Times New Roman" w:hAnsi="Times New Roman" w:cs="Times New Roman"/>
                <w:color w:val="000000" w:themeColor="text1"/>
                <w:sz w:val="22"/>
              </w:rPr>
              <w:t>is</w:t>
            </w:r>
            <w:r w:rsidRPr="00515001">
              <w:rPr>
                <w:rFonts w:ascii="Times New Roman" w:hAnsi="Times New Roman" w:cs="Times New Roman"/>
                <w:color w:val="000000" w:themeColor="text1"/>
                <w:sz w:val="22"/>
              </w:rPr>
              <w:t xml:space="preserve"> planning to implement hourly nominations and Estonian TSO </w:t>
            </w:r>
            <w:r w:rsidR="0080573B">
              <w:rPr>
                <w:rFonts w:ascii="Times New Roman" w:hAnsi="Times New Roman" w:cs="Times New Roman"/>
                <w:color w:val="000000" w:themeColor="text1"/>
                <w:sz w:val="22"/>
              </w:rPr>
              <w:lastRenderedPageBreak/>
              <w:t>is</w:t>
            </w:r>
            <w:r w:rsidRPr="00515001">
              <w:rPr>
                <w:rFonts w:ascii="Times New Roman" w:hAnsi="Times New Roman" w:cs="Times New Roman"/>
                <w:color w:val="000000" w:themeColor="text1"/>
                <w:sz w:val="22"/>
              </w:rPr>
              <w:t xml:space="preserve"> planning to implement the daily nomination regime. The </w:t>
            </w:r>
            <w:proofErr w:type="spellStart"/>
            <w:r w:rsidR="005E7BEF">
              <w:rPr>
                <w:rFonts w:ascii="Times New Roman" w:hAnsi="Times New Roman" w:cs="Times New Roman"/>
                <w:color w:val="000000" w:themeColor="text1"/>
                <w:sz w:val="22"/>
              </w:rPr>
              <w:t>R</w:t>
            </w:r>
            <w:r w:rsidRPr="00515001">
              <w:rPr>
                <w:rFonts w:ascii="Times New Roman" w:hAnsi="Times New Roman" w:cs="Times New Roman"/>
                <w:color w:val="000000" w:themeColor="text1"/>
                <w:sz w:val="22"/>
              </w:rPr>
              <w:t>enomination</w:t>
            </w:r>
            <w:r w:rsidR="005E7BEF">
              <w:rPr>
                <w:rFonts w:ascii="Times New Roman" w:hAnsi="Times New Roman" w:cs="Times New Roman"/>
                <w:color w:val="000000" w:themeColor="text1"/>
                <w:sz w:val="22"/>
              </w:rPr>
              <w:t>s</w:t>
            </w:r>
            <w:proofErr w:type="spellEnd"/>
            <w:r w:rsidRPr="00515001">
              <w:rPr>
                <w:rFonts w:ascii="Times New Roman" w:hAnsi="Times New Roman" w:cs="Times New Roman"/>
                <w:color w:val="000000" w:themeColor="text1"/>
                <w:sz w:val="22"/>
              </w:rPr>
              <w:t xml:space="preserve"> on the </w:t>
            </w:r>
            <w:proofErr w:type="spellStart"/>
            <w:r w:rsidRPr="00515001">
              <w:rPr>
                <w:rFonts w:ascii="Times New Roman" w:hAnsi="Times New Roman" w:cs="Times New Roman"/>
                <w:color w:val="000000" w:themeColor="text1"/>
                <w:sz w:val="22"/>
              </w:rPr>
              <w:t>Balticconnector</w:t>
            </w:r>
            <w:proofErr w:type="spellEnd"/>
            <w:r w:rsidRPr="00515001">
              <w:rPr>
                <w:rFonts w:ascii="Times New Roman" w:hAnsi="Times New Roman" w:cs="Times New Roman"/>
                <w:color w:val="000000" w:themeColor="text1"/>
                <w:sz w:val="22"/>
              </w:rPr>
              <w:t xml:space="preserve"> would be limited with hourly flows (not allowing to change the past flows).</w:t>
            </w:r>
          </w:p>
        </w:tc>
        <w:tc>
          <w:tcPr>
            <w:tcW w:w="1692" w:type="pct"/>
          </w:tcPr>
          <w:p w14:paraId="268F096B"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lastRenderedPageBreak/>
              <w:t>[Additional comment of proposal]</w:t>
            </w:r>
          </w:p>
        </w:tc>
      </w:tr>
      <w:tr w:rsidR="00515001" w:rsidRPr="00515001" w14:paraId="1B0A8A5A" w14:textId="77777777" w:rsidTr="005E7BEF">
        <w:tc>
          <w:tcPr>
            <w:tcW w:w="633" w:type="pct"/>
          </w:tcPr>
          <w:p w14:paraId="54536C3B"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[section nr]</w:t>
            </w:r>
          </w:p>
        </w:tc>
        <w:tc>
          <w:tcPr>
            <w:tcW w:w="2675" w:type="pct"/>
          </w:tcPr>
          <w:p w14:paraId="1F6BE6C2"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[Question/identified issue]</w:t>
            </w:r>
          </w:p>
        </w:tc>
        <w:tc>
          <w:tcPr>
            <w:tcW w:w="1692" w:type="pct"/>
          </w:tcPr>
          <w:p w14:paraId="0980535B"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[Additional comment of proposal]</w:t>
            </w:r>
          </w:p>
        </w:tc>
      </w:tr>
    </w:tbl>
    <w:p w14:paraId="70E1F509" w14:textId="77777777" w:rsidR="00515001" w:rsidRPr="00515001" w:rsidRDefault="00515001" w:rsidP="00515001">
      <w:pPr>
        <w:pStyle w:val="NormaaliWWW"/>
        <w:spacing w:before="0" w:beforeAutospacing="0" w:after="0" w:afterAutospacing="0"/>
        <w:jc w:val="both"/>
        <w:rPr>
          <w:rFonts w:ascii="Calibri" w:hAnsi="Calibri" w:cs="Calibri"/>
          <w:sz w:val="36"/>
          <w:szCs w:val="22"/>
        </w:rPr>
      </w:pPr>
    </w:p>
    <w:p w14:paraId="2782427F" w14:textId="77777777" w:rsidR="00515001" w:rsidRPr="00166936" w:rsidRDefault="00515001" w:rsidP="00515001">
      <w:pPr>
        <w:pStyle w:val="Otsikko1"/>
        <w:jc w:val="both"/>
        <w:rPr>
          <w:rFonts w:ascii="Times New Roman" w:hAnsi="Times New Roman" w:cs="Times New Roman"/>
          <w:b/>
          <w:sz w:val="36"/>
        </w:rPr>
      </w:pPr>
      <w:r w:rsidRPr="00166936">
        <w:rPr>
          <w:rFonts w:ascii="Times New Roman" w:hAnsi="Times New Roman" w:cs="Times New Roman"/>
          <w:b/>
          <w:sz w:val="36"/>
        </w:rPr>
        <w:t>Exceptional Events and Gas Deficit Emergencies</w:t>
      </w:r>
    </w:p>
    <w:p w14:paraId="4B3DCF16" w14:textId="77777777" w:rsidR="00515001" w:rsidRPr="00515001" w:rsidRDefault="00515001" w:rsidP="00515001">
      <w:pPr>
        <w:jc w:val="both"/>
        <w:rPr>
          <w:sz w:val="22"/>
        </w:rPr>
      </w:pPr>
    </w:p>
    <w:p w14:paraId="44D2EBB4" w14:textId="77777777" w:rsidR="00DD6BD2" w:rsidRDefault="00515001" w:rsidP="00DD6BD2">
      <w:pPr>
        <w:pStyle w:val="Luettelokappale"/>
        <w:numPr>
          <w:ilvl w:val="0"/>
          <w:numId w:val="5"/>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b/>
          <w:bCs/>
          <w:sz w:val="36"/>
          <w:szCs w:val="32"/>
        </w:rPr>
      </w:pPr>
      <w:r w:rsidRPr="00515001">
        <w:rPr>
          <w:rFonts w:ascii="Times New Roman" w:hAnsi="Times New Roman" w:cs="Times New Roman"/>
          <w:b/>
          <w:bCs/>
          <w:sz w:val="36"/>
          <w:szCs w:val="32"/>
        </w:rPr>
        <w:t>General provisions</w:t>
      </w:r>
    </w:p>
    <w:p w14:paraId="7F04B0F7" w14:textId="3FF5693C" w:rsidR="00515001" w:rsidRPr="00DD6BD2" w:rsidRDefault="00515001" w:rsidP="00DD6BD2">
      <w:pPr>
        <w:pStyle w:val="Luettelokappale"/>
        <w:numPr>
          <w:ilvl w:val="1"/>
          <w:numId w:val="5"/>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b/>
          <w:bCs/>
          <w:sz w:val="36"/>
          <w:szCs w:val="32"/>
        </w:rPr>
      </w:pPr>
      <w:r w:rsidRPr="00DD6BD2">
        <w:rPr>
          <w:rFonts w:ascii="Times New Roman" w:hAnsi="Times New Roman" w:cs="Times New Roman"/>
          <w:sz w:val="22"/>
        </w:rPr>
        <w:t xml:space="preserve"> Exceptional event means situation where TSOs </w:t>
      </w:r>
      <w:proofErr w:type="gramStart"/>
      <w:r w:rsidRPr="00DD6BD2">
        <w:rPr>
          <w:rFonts w:ascii="Times New Roman" w:hAnsi="Times New Roman" w:cs="Times New Roman"/>
          <w:sz w:val="22"/>
        </w:rPr>
        <w:t>have to</w:t>
      </w:r>
      <w:proofErr w:type="gramEnd"/>
      <w:r w:rsidRPr="00DD6BD2">
        <w:rPr>
          <w:rFonts w:ascii="Times New Roman" w:hAnsi="Times New Roman" w:cs="Times New Roman"/>
          <w:sz w:val="22"/>
        </w:rPr>
        <w:t xml:space="preserve"> alter the physical gas flow in order to:</w:t>
      </w:r>
    </w:p>
    <w:p w14:paraId="7205F49B" w14:textId="77777777" w:rsidR="00515001" w:rsidRPr="00515001" w:rsidRDefault="00515001" w:rsidP="00515001">
      <w:pPr>
        <w:pStyle w:val="Luettelokappale"/>
        <w:numPr>
          <w:ilvl w:val="2"/>
          <w:numId w:val="5"/>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Comply with provisions laid down in national or Union safety legislation applicable to the interconnection point.</w:t>
      </w:r>
    </w:p>
    <w:p w14:paraId="6985C854" w14:textId="77777777" w:rsidR="00515001" w:rsidRPr="00515001" w:rsidRDefault="00515001" w:rsidP="00515001">
      <w:pPr>
        <w:pStyle w:val="Luettelokappale"/>
        <w:numPr>
          <w:ilvl w:val="2"/>
          <w:numId w:val="5"/>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Comply with requirements laid down in Emergency Plans and Preventive Action Plans developed in accordance with Regulation (EU) No 994/2010 of the European Parliament and of the Council (1);</w:t>
      </w:r>
    </w:p>
    <w:p w14:paraId="4C633F9E" w14:textId="77777777" w:rsidR="00515001" w:rsidRPr="00515001" w:rsidRDefault="00515001" w:rsidP="00515001">
      <w:pPr>
        <w:pStyle w:val="Luettelokappale"/>
        <w:numPr>
          <w:ilvl w:val="2"/>
          <w:numId w:val="5"/>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sz w:val="22"/>
        </w:rPr>
      </w:pPr>
      <w:r w:rsidRPr="00515001">
        <w:rPr>
          <w:rFonts w:ascii="Times New Roman" w:hAnsi="Times New Roman" w:cs="Times New Roman"/>
          <w:sz w:val="22"/>
        </w:rPr>
        <w:t>React in case the TSO's system is affected by Exceptional Event.</w:t>
      </w:r>
    </w:p>
    <w:p w14:paraId="246661E3" w14:textId="77777777" w:rsidR="00DD6BD2" w:rsidRPr="00DD6BD2" w:rsidRDefault="00DD6BD2" w:rsidP="00DD6BD2">
      <w:pPr>
        <w:pStyle w:val="Luettelokappale"/>
        <w:numPr>
          <w:ilvl w:val="0"/>
          <w:numId w:val="6"/>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vanish/>
          <w:sz w:val="22"/>
        </w:rPr>
      </w:pPr>
    </w:p>
    <w:p w14:paraId="75609B8E" w14:textId="77777777" w:rsidR="00DD6BD2" w:rsidRPr="00DD6BD2" w:rsidRDefault="00DD6BD2" w:rsidP="00DD6BD2">
      <w:pPr>
        <w:pStyle w:val="Luettelokappale"/>
        <w:numPr>
          <w:ilvl w:val="0"/>
          <w:numId w:val="6"/>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vanish/>
          <w:sz w:val="22"/>
        </w:rPr>
      </w:pPr>
    </w:p>
    <w:p w14:paraId="2997A16A" w14:textId="77777777" w:rsidR="00DD6BD2" w:rsidRPr="00DD6BD2" w:rsidRDefault="00DD6BD2" w:rsidP="00DD6BD2">
      <w:pPr>
        <w:pStyle w:val="Luettelokappale"/>
        <w:numPr>
          <w:ilvl w:val="1"/>
          <w:numId w:val="6"/>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vanish/>
          <w:sz w:val="22"/>
        </w:rPr>
      </w:pPr>
    </w:p>
    <w:p w14:paraId="168C68F7" w14:textId="163C7D17" w:rsidR="00515001" w:rsidRPr="00515001" w:rsidRDefault="00515001" w:rsidP="00DD6BD2">
      <w:pPr>
        <w:pStyle w:val="Luettelokappale"/>
        <w:numPr>
          <w:ilvl w:val="1"/>
          <w:numId w:val="6"/>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 xml:space="preserve"> TSO shall notify the adjacent TSO in case of:</w:t>
      </w:r>
    </w:p>
    <w:p w14:paraId="23A39A08" w14:textId="77777777" w:rsidR="00515001" w:rsidRPr="00515001" w:rsidRDefault="00515001" w:rsidP="00515001">
      <w:pPr>
        <w:pStyle w:val="Luettelokappale"/>
        <w:numPr>
          <w:ilvl w:val="2"/>
          <w:numId w:val="6"/>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There is an Exceptional Event or a Gas Deficit Emergency affecting the affected TSO's system, and the direction (affected direction) in which it is affected by the Exceptional Event; or</w:t>
      </w:r>
    </w:p>
    <w:p w14:paraId="5658F7A0" w14:textId="77777777" w:rsidR="00515001" w:rsidRPr="00515001" w:rsidRDefault="00515001" w:rsidP="00515001">
      <w:pPr>
        <w:pStyle w:val="Luettelokappale"/>
        <w:numPr>
          <w:ilvl w:val="2"/>
          <w:numId w:val="6"/>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t xml:space="preserve">An Exceptional Event or Gas Deficit Emergency previously notified is no longer affecting the affected TSO's system. </w:t>
      </w:r>
    </w:p>
    <w:p w14:paraId="76242CB5" w14:textId="3D40F09E" w:rsidR="00DD6BD2" w:rsidRDefault="00515001" w:rsidP="00515001">
      <w:pPr>
        <w:pStyle w:val="Luettelokappale"/>
        <w:numPr>
          <w:ilvl w:val="1"/>
          <w:numId w:val="6"/>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In case TSOs are not able to organize physical flow based on the Confirmed Nominations through </w:t>
      </w:r>
      <w:proofErr w:type="spellStart"/>
      <w:r w:rsidRPr="00515001">
        <w:rPr>
          <w:rFonts w:ascii="Times New Roman" w:hAnsi="Times New Roman" w:cs="Times New Roman"/>
          <w:color w:val="000000" w:themeColor="text1"/>
          <w:sz w:val="22"/>
        </w:rPr>
        <w:t>Balticconnector</w:t>
      </w:r>
      <w:proofErr w:type="spellEnd"/>
      <w:r w:rsidRPr="00515001">
        <w:rPr>
          <w:rFonts w:ascii="Times New Roman" w:hAnsi="Times New Roman" w:cs="Times New Roman"/>
          <w:color w:val="000000" w:themeColor="text1"/>
          <w:sz w:val="22"/>
        </w:rPr>
        <w:t xml:space="preserve"> due to </w:t>
      </w:r>
      <w:r w:rsidR="008E31D1">
        <w:rPr>
          <w:rFonts w:ascii="Times New Roman" w:hAnsi="Times New Roman" w:cs="Times New Roman"/>
          <w:color w:val="000000" w:themeColor="text1"/>
          <w:sz w:val="22"/>
        </w:rPr>
        <w:t>Ex</w:t>
      </w:r>
      <w:r w:rsidR="0002462A">
        <w:rPr>
          <w:rFonts w:ascii="Times New Roman" w:hAnsi="Times New Roman" w:cs="Times New Roman"/>
          <w:color w:val="000000" w:themeColor="text1"/>
          <w:sz w:val="22"/>
        </w:rPr>
        <w:t>ceptional E</w:t>
      </w:r>
      <w:r w:rsidRPr="00515001">
        <w:rPr>
          <w:rFonts w:ascii="Times New Roman" w:hAnsi="Times New Roman" w:cs="Times New Roman"/>
          <w:color w:val="000000" w:themeColor="text1"/>
          <w:sz w:val="22"/>
        </w:rPr>
        <w:t>vents or other reasons, it will be the responsibility of TSOs in cooperation to solve the situation still providing the commercial flow except the emergency situations described in the decree of Security of Supply. If TSO is unable to send data to the other TSO, it will inform before the deadline specified in this agreement the other TSO and will send the relevant data as soon as it is able to, and the other TSO will use reasonable endeavo</w:t>
      </w:r>
      <w:r w:rsidR="00DD6BD2">
        <w:rPr>
          <w:rFonts w:ascii="Times New Roman" w:hAnsi="Times New Roman" w:cs="Times New Roman"/>
          <w:color w:val="000000" w:themeColor="text1"/>
          <w:sz w:val="22"/>
        </w:rPr>
        <w:t>u</w:t>
      </w:r>
      <w:r w:rsidRPr="00515001">
        <w:rPr>
          <w:rFonts w:ascii="Times New Roman" w:hAnsi="Times New Roman" w:cs="Times New Roman"/>
          <w:color w:val="000000" w:themeColor="text1"/>
          <w:sz w:val="22"/>
        </w:rPr>
        <w:t>rs to perform its activities until the data is received.</w:t>
      </w:r>
    </w:p>
    <w:p w14:paraId="381BF982" w14:textId="77777777" w:rsidR="00DD6BD2" w:rsidRDefault="00DD6BD2" w:rsidP="00DD6BD2">
      <w:pPr>
        <w:pStyle w:val="Luettelokappale"/>
        <w:numPr>
          <w:ilvl w:val="0"/>
          <w:numId w:val="0"/>
        </w:numPr>
        <w:tabs>
          <w:tab w:val="clear" w:pos="1304"/>
          <w:tab w:val="clear" w:pos="2608"/>
          <w:tab w:val="clear" w:pos="3912"/>
          <w:tab w:val="clear" w:pos="5216"/>
          <w:tab w:val="clear" w:pos="6521"/>
          <w:tab w:val="clear" w:pos="7825"/>
        </w:tabs>
        <w:spacing w:line="259" w:lineRule="auto"/>
        <w:ind w:left="360"/>
        <w:jc w:val="both"/>
        <w:rPr>
          <w:rFonts w:ascii="Times New Roman" w:hAnsi="Times New Roman" w:cs="Times New Roman"/>
          <w:color w:val="000000" w:themeColor="text1"/>
          <w:sz w:val="22"/>
        </w:rPr>
      </w:pPr>
    </w:p>
    <w:p w14:paraId="3F0AAA11" w14:textId="64D41AFB" w:rsidR="00515001" w:rsidRPr="00DD6BD2" w:rsidRDefault="00515001" w:rsidP="00DD6BD2">
      <w:pPr>
        <w:pStyle w:val="Luettelokappale"/>
        <w:numPr>
          <w:ilvl w:val="0"/>
          <w:numId w:val="6"/>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DD6BD2">
        <w:rPr>
          <w:rFonts w:ascii="Times New Roman" w:hAnsi="Times New Roman" w:cs="Times New Roman"/>
          <w:b/>
          <w:bCs/>
          <w:sz w:val="36"/>
          <w:szCs w:val="32"/>
        </w:rPr>
        <w:t>Nomination/capacity interruption related provisions</w:t>
      </w:r>
    </w:p>
    <w:p w14:paraId="22532928" w14:textId="77777777" w:rsidR="00DD6BD2" w:rsidRPr="00DD6BD2" w:rsidRDefault="00DD6BD2" w:rsidP="00DD6BD2">
      <w:pPr>
        <w:pStyle w:val="Luettelokappale"/>
        <w:numPr>
          <w:ilvl w:val="0"/>
          <w:numId w:val="4"/>
        </w:numPr>
        <w:tabs>
          <w:tab w:val="clear" w:pos="1304"/>
          <w:tab w:val="clear" w:pos="2608"/>
          <w:tab w:val="clear" w:pos="3912"/>
          <w:tab w:val="clear" w:pos="5216"/>
          <w:tab w:val="clear" w:pos="6521"/>
          <w:tab w:val="clear" w:pos="7825"/>
        </w:tabs>
        <w:spacing w:line="240" w:lineRule="auto"/>
        <w:contextualSpacing w:val="0"/>
        <w:jc w:val="both"/>
        <w:rPr>
          <w:rFonts w:ascii="Times New Roman" w:hAnsi="Times New Roman" w:cs="Times New Roman"/>
          <w:vanish/>
          <w:sz w:val="22"/>
        </w:rPr>
      </w:pPr>
    </w:p>
    <w:p w14:paraId="27CE0E26" w14:textId="77777777" w:rsidR="00DD6BD2" w:rsidRPr="00DD6BD2" w:rsidRDefault="00DD6BD2" w:rsidP="00DD6BD2">
      <w:pPr>
        <w:pStyle w:val="Luettelokappale"/>
        <w:numPr>
          <w:ilvl w:val="0"/>
          <w:numId w:val="4"/>
        </w:numPr>
        <w:tabs>
          <w:tab w:val="clear" w:pos="1304"/>
          <w:tab w:val="clear" w:pos="2608"/>
          <w:tab w:val="clear" w:pos="3912"/>
          <w:tab w:val="clear" w:pos="5216"/>
          <w:tab w:val="clear" w:pos="6521"/>
          <w:tab w:val="clear" w:pos="7825"/>
        </w:tabs>
        <w:spacing w:line="240" w:lineRule="auto"/>
        <w:contextualSpacing w:val="0"/>
        <w:jc w:val="both"/>
        <w:rPr>
          <w:rFonts w:ascii="Times New Roman" w:hAnsi="Times New Roman" w:cs="Times New Roman"/>
          <w:vanish/>
          <w:sz w:val="22"/>
        </w:rPr>
      </w:pPr>
    </w:p>
    <w:p w14:paraId="0297E028" w14:textId="77777777" w:rsidR="00DD6BD2" w:rsidRPr="00DD6BD2" w:rsidRDefault="00DD6BD2" w:rsidP="00DD6BD2">
      <w:pPr>
        <w:pStyle w:val="Luettelokappale"/>
        <w:numPr>
          <w:ilvl w:val="0"/>
          <w:numId w:val="4"/>
        </w:numPr>
        <w:tabs>
          <w:tab w:val="clear" w:pos="1304"/>
          <w:tab w:val="clear" w:pos="2608"/>
          <w:tab w:val="clear" w:pos="3912"/>
          <w:tab w:val="clear" w:pos="5216"/>
          <w:tab w:val="clear" w:pos="6521"/>
          <w:tab w:val="clear" w:pos="7825"/>
        </w:tabs>
        <w:spacing w:line="240" w:lineRule="auto"/>
        <w:contextualSpacing w:val="0"/>
        <w:jc w:val="both"/>
        <w:rPr>
          <w:rFonts w:ascii="Times New Roman" w:hAnsi="Times New Roman" w:cs="Times New Roman"/>
          <w:vanish/>
          <w:sz w:val="22"/>
        </w:rPr>
      </w:pPr>
    </w:p>
    <w:p w14:paraId="172B3594" w14:textId="7C1B1580" w:rsidR="00515001" w:rsidRPr="003E4CF5" w:rsidRDefault="00515001" w:rsidP="00E5716E">
      <w:pPr>
        <w:pStyle w:val="Luettelokappale"/>
        <w:numPr>
          <w:ilvl w:val="1"/>
          <w:numId w:val="6"/>
        </w:numPr>
        <w:tabs>
          <w:tab w:val="clear" w:pos="1304"/>
          <w:tab w:val="clear" w:pos="2608"/>
          <w:tab w:val="clear" w:pos="3912"/>
          <w:tab w:val="clear" w:pos="5216"/>
          <w:tab w:val="clear" w:pos="6521"/>
          <w:tab w:val="clear" w:pos="7825"/>
        </w:tabs>
        <w:spacing w:line="240" w:lineRule="auto"/>
        <w:jc w:val="both"/>
        <w:rPr>
          <w:rFonts w:ascii="Times New Roman" w:hAnsi="Times New Roman" w:cs="Times New Roman"/>
          <w:sz w:val="22"/>
        </w:rPr>
      </w:pPr>
      <w:r w:rsidRPr="003E4CF5">
        <w:rPr>
          <w:rFonts w:ascii="Times New Roman" w:hAnsi="Times New Roman" w:cs="Times New Roman"/>
          <w:sz w:val="22"/>
        </w:rPr>
        <w:t xml:space="preserve">If the </w:t>
      </w:r>
      <w:r w:rsidR="002F4C53">
        <w:rPr>
          <w:rFonts w:ascii="Times New Roman" w:hAnsi="Times New Roman" w:cs="Times New Roman"/>
          <w:sz w:val="22"/>
        </w:rPr>
        <w:t>T</w:t>
      </w:r>
      <w:r w:rsidRPr="003E4CF5">
        <w:rPr>
          <w:rFonts w:ascii="Times New Roman" w:hAnsi="Times New Roman" w:cs="Times New Roman"/>
          <w:sz w:val="22"/>
        </w:rPr>
        <w:t xml:space="preserve">echnical </w:t>
      </w:r>
      <w:r w:rsidR="002F4C53">
        <w:rPr>
          <w:rFonts w:ascii="Times New Roman" w:hAnsi="Times New Roman" w:cs="Times New Roman"/>
          <w:sz w:val="22"/>
        </w:rPr>
        <w:t>C</w:t>
      </w:r>
      <w:r w:rsidRPr="003E4CF5">
        <w:rPr>
          <w:rFonts w:ascii="Times New Roman" w:hAnsi="Times New Roman" w:cs="Times New Roman"/>
          <w:sz w:val="22"/>
        </w:rPr>
        <w:t xml:space="preserve">apacity is affected by the Exceptional Event, the other TSO is informed as described in Article </w:t>
      </w:r>
      <w:r w:rsidR="00977C92" w:rsidRPr="003E4CF5">
        <w:rPr>
          <w:rFonts w:ascii="Times New Roman" w:hAnsi="Times New Roman" w:cs="Times New Roman"/>
          <w:sz w:val="22"/>
        </w:rPr>
        <w:t>3</w:t>
      </w:r>
      <w:r w:rsidRPr="003E4CF5">
        <w:rPr>
          <w:rFonts w:ascii="Times New Roman" w:hAnsi="Times New Roman" w:cs="Times New Roman"/>
          <w:sz w:val="22"/>
        </w:rPr>
        <w:t>.</w:t>
      </w:r>
      <w:r w:rsidR="00977C92" w:rsidRPr="003E4CF5">
        <w:rPr>
          <w:rFonts w:ascii="Times New Roman" w:hAnsi="Times New Roman" w:cs="Times New Roman"/>
          <w:sz w:val="22"/>
        </w:rPr>
        <w:t>3</w:t>
      </w:r>
      <w:r w:rsidRPr="003E4CF5">
        <w:rPr>
          <w:rFonts w:ascii="Times New Roman" w:hAnsi="Times New Roman" w:cs="Times New Roman"/>
          <w:sz w:val="22"/>
        </w:rPr>
        <w:t xml:space="preserve"> below, and new information on Technical Capacity is coordinated and distributed in electronic format.</w:t>
      </w:r>
    </w:p>
    <w:p w14:paraId="77B737B1" w14:textId="77777777" w:rsidR="00DD6BD2" w:rsidRPr="00DD6BD2" w:rsidRDefault="00DD6BD2" w:rsidP="00E5716E">
      <w:pPr>
        <w:pStyle w:val="Luettelokappale"/>
        <w:numPr>
          <w:ilvl w:val="0"/>
          <w:numId w:val="11"/>
        </w:numPr>
        <w:tabs>
          <w:tab w:val="clear" w:pos="1304"/>
          <w:tab w:val="clear" w:pos="2608"/>
          <w:tab w:val="clear" w:pos="3912"/>
          <w:tab w:val="clear" w:pos="5216"/>
          <w:tab w:val="clear" w:pos="6521"/>
          <w:tab w:val="clear" w:pos="7825"/>
        </w:tabs>
        <w:spacing w:line="240" w:lineRule="auto"/>
        <w:contextualSpacing w:val="0"/>
        <w:jc w:val="both"/>
        <w:rPr>
          <w:rFonts w:ascii="Times New Roman" w:hAnsi="Times New Roman" w:cs="Times New Roman"/>
          <w:vanish/>
          <w:sz w:val="22"/>
        </w:rPr>
      </w:pPr>
    </w:p>
    <w:p w14:paraId="20201745" w14:textId="77777777" w:rsidR="00DD6BD2" w:rsidRPr="00DD6BD2" w:rsidRDefault="00DD6BD2" w:rsidP="00E5716E">
      <w:pPr>
        <w:pStyle w:val="Luettelokappale"/>
        <w:numPr>
          <w:ilvl w:val="0"/>
          <w:numId w:val="11"/>
        </w:numPr>
        <w:tabs>
          <w:tab w:val="clear" w:pos="1304"/>
          <w:tab w:val="clear" w:pos="2608"/>
          <w:tab w:val="clear" w:pos="3912"/>
          <w:tab w:val="clear" w:pos="5216"/>
          <w:tab w:val="clear" w:pos="6521"/>
          <w:tab w:val="clear" w:pos="7825"/>
        </w:tabs>
        <w:spacing w:line="240" w:lineRule="auto"/>
        <w:contextualSpacing w:val="0"/>
        <w:jc w:val="both"/>
        <w:rPr>
          <w:rFonts w:ascii="Times New Roman" w:hAnsi="Times New Roman" w:cs="Times New Roman"/>
          <w:vanish/>
          <w:sz w:val="22"/>
        </w:rPr>
      </w:pPr>
    </w:p>
    <w:p w14:paraId="74065630" w14:textId="77777777" w:rsidR="00DD6BD2" w:rsidRPr="00DD6BD2" w:rsidRDefault="00DD6BD2" w:rsidP="00E5716E">
      <w:pPr>
        <w:pStyle w:val="Luettelokappale"/>
        <w:numPr>
          <w:ilvl w:val="0"/>
          <w:numId w:val="11"/>
        </w:numPr>
        <w:tabs>
          <w:tab w:val="clear" w:pos="1304"/>
          <w:tab w:val="clear" w:pos="2608"/>
          <w:tab w:val="clear" w:pos="3912"/>
          <w:tab w:val="clear" w:pos="5216"/>
          <w:tab w:val="clear" w:pos="6521"/>
          <w:tab w:val="clear" w:pos="7825"/>
        </w:tabs>
        <w:spacing w:line="240" w:lineRule="auto"/>
        <w:contextualSpacing w:val="0"/>
        <w:jc w:val="both"/>
        <w:rPr>
          <w:rFonts w:ascii="Times New Roman" w:hAnsi="Times New Roman" w:cs="Times New Roman"/>
          <w:vanish/>
          <w:sz w:val="22"/>
        </w:rPr>
      </w:pPr>
    </w:p>
    <w:p w14:paraId="5EE5B305" w14:textId="77777777" w:rsidR="00DD6BD2" w:rsidRPr="00DD6BD2" w:rsidRDefault="00DD6BD2" w:rsidP="00E5716E">
      <w:pPr>
        <w:pStyle w:val="Luettelokappale"/>
        <w:numPr>
          <w:ilvl w:val="1"/>
          <w:numId w:val="11"/>
        </w:numPr>
        <w:tabs>
          <w:tab w:val="clear" w:pos="1304"/>
          <w:tab w:val="clear" w:pos="2608"/>
          <w:tab w:val="clear" w:pos="3912"/>
          <w:tab w:val="clear" w:pos="5216"/>
          <w:tab w:val="clear" w:pos="6521"/>
          <w:tab w:val="clear" w:pos="7825"/>
        </w:tabs>
        <w:spacing w:line="240" w:lineRule="auto"/>
        <w:contextualSpacing w:val="0"/>
        <w:jc w:val="both"/>
        <w:rPr>
          <w:rFonts w:ascii="Times New Roman" w:hAnsi="Times New Roman" w:cs="Times New Roman"/>
          <w:vanish/>
          <w:sz w:val="22"/>
        </w:rPr>
      </w:pPr>
    </w:p>
    <w:p w14:paraId="6FB33BB7" w14:textId="61753A2B" w:rsidR="00515001" w:rsidRPr="003420BF" w:rsidRDefault="00515001" w:rsidP="00E5716E">
      <w:pPr>
        <w:pStyle w:val="Luettelokappale"/>
        <w:numPr>
          <w:ilvl w:val="1"/>
          <w:numId w:val="19"/>
        </w:numPr>
        <w:tabs>
          <w:tab w:val="clear" w:pos="1304"/>
          <w:tab w:val="clear" w:pos="2608"/>
          <w:tab w:val="clear" w:pos="3912"/>
          <w:tab w:val="clear" w:pos="5216"/>
          <w:tab w:val="clear" w:pos="6521"/>
          <w:tab w:val="clear" w:pos="7825"/>
        </w:tabs>
        <w:spacing w:line="240" w:lineRule="auto"/>
        <w:jc w:val="both"/>
        <w:rPr>
          <w:rFonts w:ascii="Times New Roman" w:hAnsi="Times New Roman" w:cs="Times New Roman"/>
          <w:sz w:val="22"/>
        </w:rPr>
      </w:pPr>
      <w:r w:rsidRPr="003420BF">
        <w:rPr>
          <w:rFonts w:ascii="Times New Roman" w:hAnsi="Times New Roman" w:cs="Times New Roman"/>
          <w:sz w:val="22"/>
        </w:rPr>
        <w:t>In case there is need for interruption on Confirmed Nomination, the TSO requesting the interruption is responsible for notifying adjacent TSO and respective Shippers affected by the interruption, and publishing the interruption notice in Transparency Platform. Adjacent TSO shall inform Shippers registered to its system.</w:t>
      </w:r>
    </w:p>
    <w:p w14:paraId="4A06CA39" w14:textId="574AEFA1" w:rsidR="00515001" w:rsidRPr="003420BF" w:rsidRDefault="00515001" w:rsidP="003420BF">
      <w:pPr>
        <w:pStyle w:val="Luettelokappale"/>
        <w:numPr>
          <w:ilvl w:val="1"/>
          <w:numId w:val="12"/>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3420BF">
        <w:rPr>
          <w:rFonts w:ascii="Times New Roman" w:hAnsi="Times New Roman" w:cs="Times New Roman"/>
          <w:sz w:val="22"/>
        </w:rPr>
        <w:t>Where TSO notifies an Exceptional Event or Gas Deficit Emergency to the other TSO, in relation to Nominations in the affected direction:</w:t>
      </w:r>
    </w:p>
    <w:p w14:paraId="0188D888" w14:textId="4C8F7FED" w:rsidR="00515001" w:rsidRPr="00DD6BD2" w:rsidRDefault="00515001" w:rsidP="00DD6BD2">
      <w:pPr>
        <w:pStyle w:val="Luettelokappale"/>
        <w:numPr>
          <w:ilvl w:val="2"/>
          <w:numId w:val="12"/>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DD6BD2">
        <w:rPr>
          <w:rFonts w:ascii="Times New Roman" w:hAnsi="Times New Roman" w:cs="Times New Roman"/>
          <w:sz w:val="22"/>
        </w:rPr>
        <w:t>The affected TSO shall determine revised Technical Capacity and shall send updated Technical Capacity.</w:t>
      </w:r>
    </w:p>
    <w:p w14:paraId="79E79B7D" w14:textId="06955765" w:rsidR="00515001" w:rsidRPr="00DD6BD2" w:rsidRDefault="00515001" w:rsidP="00DD6BD2">
      <w:pPr>
        <w:pStyle w:val="Luettelokappale"/>
        <w:numPr>
          <w:ilvl w:val="2"/>
          <w:numId w:val="12"/>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sz w:val="22"/>
        </w:rPr>
      </w:pPr>
      <w:r w:rsidRPr="00DD6BD2">
        <w:rPr>
          <w:rFonts w:ascii="Times New Roman" w:hAnsi="Times New Roman" w:cs="Times New Roman"/>
          <w:sz w:val="22"/>
        </w:rPr>
        <w:t xml:space="preserve">If already Confirmed Nomination must be interrupted, Matching TSO shall perform Matching process </w:t>
      </w:r>
      <w:proofErr w:type="gramStart"/>
      <w:r w:rsidRPr="00DD6BD2">
        <w:rPr>
          <w:rFonts w:ascii="Times New Roman" w:hAnsi="Times New Roman" w:cs="Times New Roman"/>
          <w:sz w:val="22"/>
        </w:rPr>
        <w:t>taking into account</w:t>
      </w:r>
      <w:proofErr w:type="gramEnd"/>
      <w:r w:rsidRPr="00DD6BD2">
        <w:rPr>
          <w:rFonts w:ascii="Times New Roman" w:hAnsi="Times New Roman" w:cs="Times New Roman"/>
          <w:sz w:val="22"/>
        </w:rPr>
        <w:t xml:space="preserve"> the updated amount of Technical Capacity. Reduction to already Confirmed Nominations shall be done pro rata for Shippers which are affected by Exceptional Event or Gas Deficit Emergency. The Nominations that have already been confirmed are prioritized before any </w:t>
      </w:r>
      <w:proofErr w:type="spellStart"/>
      <w:r w:rsidRPr="00DD6BD2">
        <w:rPr>
          <w:rFonts w:ascii="Times New Roman" w:hAnsi="Times New Roman" w:cs="Times New Roman"/>
          <w:sz w:val="22"/>
        </w:rPr>
        <w:t>Renominations</w:t>
      </w:r>
      <w:proofErr w:type="spellEnd"/>
      <w:r w:rsidRPr="00DD6BD2">
        <w:rPr>
          <w:rFonts w:ascii="Times New Roman" w:hAnsi="Times New Roman" w:cs="Times New Roman"/>
          <w:sz w:val="22"/>
        </w:rPr>
        <w:t xml:space="preserve"> that may have been received by the same matching deadline, i.e. Confirmed Nominations are prioritized before Confirmed </w:t>
      </w:r>
      <w:proofErr w:type="spellStart"/>
      <w:r w:rsidRPr="00DD6BD2">
        <w:rPr>
          <w:rFonts w:ascii="Times New Roman" w:hAnsi="Times New Roman" w:cs="Times New Roman"/>
          <w:sz w:val="22"/>
        </w:rPr>
        <w:t>Renominations</w:t>
      </w:r>
      <w:proofErr w:type="spellEnd"/>
      <w:r w:rsidRPr="00DD6BD2">
        <w:rPr>
          <w:rFonts w:ascii="Times New Roman" w:hAnsi="Times New Roman" w:cs="Times New Roman"/>
          <w:sz w:val="22"/>
        </w:rPr>
        <w:t xml:space="preserve">. </w:t>
      </w:r>
    </w:p>
    <w:p w14:paraId="4545128E" w14:textId="5057DA88" w:rsidR="00515001" w:rsidRPr="0088465B" w:rsidRDefault="00515001" w:rsidP="00DD6BD2">
      <w:pPr>
        <w:pStyle w:val="Luettelokappale"/>
        <w:numPr>
          <w:ilvl w:val="2"/>
          <w:numId w:val="12"/>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sz w:val="22"/>
        </w:rPr>
      </w:pPr>
      <w:r w:rsidRPr="0088465B">
        <w:rPr>
          <w:rFonts w:ascii="Times New Roman" w:hAnsi="Times New Roman" w:cs="Times New Roman"/>
          <w:sz w:val="22"/>
        </w:rPr>
        <w:t xml:space="preserve">The TSOs will notify the revised Confirmed Nominations to their respective Shippers within Matching Process timeline specified under </w:t>
      </w:r>
      <w:r w:rsidR="00DB604B" w:rsidRPr="0088465B">
        <w:rPr>
          <w:rFonts w:ascii="Times New Roman" w:hAnsi="Times New Roman" w:cs="Times New Roman"/>
          <w:sz w:val="22"/>
        </w:rPr>
        <w:t>section</w:t>
      </w:r>
      <w:r w:rsidR="00E27253" w:rsidRPr="0088465B">
        <w:rPr>
          <w:rFonts w:ascii="Times New Roman" w:hAnsi="Times New Roman" w:cs="Times New Roman"/>
          <w:sz w:val="22"/>
        </w:rPr>
        <w:t xml:space="preserve"> ‘</w:t>
      </w:r>
      <w:r w:rsidRPr="0088465B">
        <w:rPr>
          <w:rFonts w:ascii="Times New Roman" w:hAnsi="Times New Roman" w:cs="Times New Roman"/>
          <w:sz w:val="22"/>
        </w:rPr>
        <w:t xml:space="preserve">Matching </w:t>
      </w:r>
      <w:r w:rsidR="0088465B" w:rsidRPr="0088465B">
        <w:rPr>
          <w:rFonts w:ascii="Times New Roman" w:hAnsi="Times New Roman" w:cs="Times New Roman"/>
          <w:sz w:val="22"/>
        </w:rPr>
        <w:t>Pr</w:t>
      </w:r>
      <w:r w:rsidRPr="0088465B">
        <w:rPr>
          <w:rFonts w:ascii="Times New Roman" w:hAnsi="Times New Roman" w:cs="Times New Roman"/>
          <w:sz w:val="22"/>
        </w:rPr>
        <w:t xml:space="preserve">ocess and </w:t>
      </w:r>
      <w:r w:rsidR="0088465B" w:rsidRPr="0088465B">
        <w:rPr>
          <w:rFonts w:ascii="Times New Roman" w:hAnsi="Times New Roman" w:cs="Times New Roman"/>
          <w:sz w:val="22"/>
        </w:rPr>
        <w:t>T</w:t>
      </w:r>
      <w:r w:rsidRPr="0088465B">
        <w:rPr>
          <w:rFonts w:ascii="Times New Roman" w:hAnsi="Times New Roman" w:cs="Times New Roman"/>
          <w:sz w:val="22"/>
        </w:rPr>
        <w:t xml:space="preserve">echnical </w:t>
      </w:r>
      <w:r w:rsidR="0088465B" w:rsidRPr="0088465B">
        <w:rPr>
          <w:rFonts w:ascii="Times New Roman" w:hAnsi="Times New Roman" w:cs="Times New Roman"/>
          <w:sz w:val="22"/>
        </w:rPr>
        <w:t>C</w:t>
      </w:r>
      <w:r w:rsidRPr="0088465B">
        <w:rPr>
          <w:rFonts w:ascii="Times New Roman" w:hAnsi="Times New Roman" w:cs="Times New Roman"/>
          <w:sz w:val="22"/>
        </w:rPr>
        <w:t>apacity allocation</w:t>
      </w:r>
      <w:r w:rsidR="00E27253" w:rsidRPr="0088465B">
        <w:rPr>
          <w:rFonts w:ascii="Times New Roman" w:hAnsi="Times New Roman" w:cs="Times New Roman"/>
          <w:sz w:val="22"/>
        </w:rPr>
        <w:t>’</w:t>
      </w:r>
      <w:r w:rsidRPr="0088465B">
        <w:rPr>
          <w:rFonts w:ascii="Times New Roman" w:hAnsi="Times New Roman" w:cs="Times New Roman"/>
          <w:sz w:val="22"/>
        </w:rPr>
        <w:t xml:space="preserve"> by providing </w:t>
      </w:r>
      <w:r w:rsidR="00494EF9">
        <w:rPr>
          <w:rFonts w:ascii="Times New Roman" w:hAnsi="Times New Roman" w:cs="Times New Roman"/>
          <w:sz w:val="22"/>
        </w:rPr>
        <w:t xml:space="preserve">an </w:t>
      </w:r>
      <w:r w:rsidRPr="0088465B">
        <w:rPr>
          <w:rFonts w:ascii="Times New Roman" w:hAnsi="Times New Roman" w:cs="Times New Roman"/>
          <w:sz w:val="22"/>
        </w:rPr>
        <w:t>interruption notice.</w:t>
      </w:r>
    </w:p>
    <w:p w14:paraId="05E5B89E" w14:textId="473C2950" w:rsidR="00515001" w:rsidRPr="00515001" w:rsidRDefault="00515001" w:rsidP="00DD6BD2">
      <w:pPr>
        <w:pStyle w:val="Luettelokappale"/>
        <w:numPr>
          <w:ilvl w:val="1"/>
          <w:numId w:val="12"/>
        </w:numPr>
        <w:tabs>
          <w:tab w:val="clear" w:pos="1304"/>
          <w:tab w:val="clear" w:pos="2608"/>
          <w:tab w:val="clear" w:pos="3912"/>
          <w:tab w:val="clear" w:pos="5216"/>
          <w:tab w:val="clear" w:pos="6521"/>
          <w:tab w:val="clear" w:pos="7825"/>
        </w:tabs>
        <w:spacing w:line="259" w:lineRule="auto"/>
        <w:jc w:val="both"/>
        <w:rPr>
          <w:rFonts w:ascii="Times New Roman" w:hAnsi="Times New Roman" w:cs="Times New Roman"/>
          <w:color w:val="000000" w:themeColor="text1"/>
          <w:sz w:val="22"/>
        </w:rPr>
      </w:pPr>
      <w:r w:rsidRPr="00515001">
        <w:rPr>
          <w:rFonts w:ascii="Times New Roman" w:hAnsi="Times New Roman" w:cs="Times New Roman"/>
          <w:sz w:val="22"/>
        </w:rPr>
        <w:lastRenderedPageBreak/>
        <w:t xml:space="preserve">The steps described in paragraph </w:t>
      </w:r>
      <w:r w:rsidR="00721240">
        <w:rPr>
          <w:rFonts w:ascii="Times New Roman" w:hAnsi="Times New Roman" w:cs="Times New Roman"/>
          <w:sz w:val="22"/>
        </w:rPr>
        <w:t>3</w:t>
      </w:r>
      <w:r w:rsidRPr="00515001">
        <w:rPr>
          <w:rFonts w:ascii="Times New Roman" w:hAnsi="Times New Roman" w:cs="Times New Roman"/>
          <w:sz w:val="22"/>
        </w:rPr>
        <w:t>.3</w:t>
      </w:r>
      <w:r w:rsidR="003420BF">
        <w:rPr>
          <w:rFonts w:ascii="Times New Roman" w:hAnsi="Times New Roman" w:cs="Times New Roman"/>
          <w:sz w:val="22"/>
        </w:rPr>
        <w:t>.</w:t>
      </w:r>
      <w:r w:rsidRPr="00515001">
        <w:rPr>
          <w:rFonts w:ascii="Times New Roman" w:hAnsi="Times New Roman" w:cs="Times New Roman"/>
          <w:sz w:val="22"/>
        </w:rPr>
        <w:t xml:space="preserve"> </w:t>
      </w:r>
      <w:r w:rsidR="006A119F">
        <w:rPr>
          <w:rFonts w:ascii="Times New Roman" w:hAnsi="Times New Roman" w:cs="Times New Roman"/>
          <w:sz w:val="22"/>
        </w:rPr>
        <w:t xml:space="preserve">above </w:t>
      </w:r>
      <w:r w:rsidRPr="00515001">
        <w:rPr>
          <w:rFonts w:ascii="Times New Roman" w:hAnsi="Times New Roman" w:cs="Times New Roman"/>
          <w:sz w:val="22"/>
        </w:rPr>
        <w:t xml:space="preserve">shall be taken in accordance with the Matching Timetable on the basis that the </w:t>
      </w:r>
      <w:proofErr w:type="spellStart"/>
      <w:r w:rsidRPr="00515001">
        <w:rPr>
          <w:rFonts w:ascii="Times New Roman" w:hAnsi="Times New Roman" w:cs="Times New Roman"/>
          <w:sz w:val="22"/>
        </w:rPr>
        <w:t>Renomination</w:t>
      </w:r>
      <w:proofErr w:type="spellEnd"/>
      <w:r w:rsidRPr="00515001">
        <w:rPr>
          <w:rFonts w:ascii="Times New Roman" w:hAnsi="Times New Roman" w:cs="Times New Roman"/>
          <w:sz w:val="22"/>
        </w:rPr>
        <w:t xml:space="preserve"> cycle starts following the hour during which the affected TSO notifies the Exceptional Event or Gas Deficit Emergency or its cessation.</w:t>
      </w:r>
    </w:p>
    <w:p w14:paraId="58E82F82" w14:textId="1DFE5B09" w:rsidR="00515001" w:rsidRPr="00515001" w:rsidRDefault="00515001" w:rsidP="00DD6BD2">
      <w:pPr>
        <w:numPr>
          <w:ilvl w:val="1"/>
          <w:numId w:val="12"/>
        </w:numPr>
        <w:tabs>
          <w:tab w:val="clear" w:pos="1304"/>
          <w:tab w:val="clear" w:pos="2608"/>
          <w:tab w:val="clear" w:pos="3912"/>
          <w:tab w:val="clear" w:pos="5216"/>
          <w:tab w:val="clear" w:pos="6521"/>
          <w:tab w:val="clear" w:pos="7825"/>
        </w:tabs>
        <w:jc w:val="both"/>
        <w:rPr>
          <w:rFonts w:ascii="Times New Roman" w:hAnsi="Times New Roman" w:cs="Times New Roman"/>
          <w:color w:val="000000" w:themeColor="text1"/>
          <w:sz w:val="22"/>
        </w:rPr>
      </w:pPr>
      <w:r w:rsidRPr="00515001">
        <w:rPr>
          <w:rFonts w:ascii="Times New Roman" w:hAnsi="Times New Roman" w:cs="Times New Roman"/>
          <w:sz w:val="22"/>
        </w:rPr>
        <w:t>Primary communication channel used in case of Exceptional Event is phone, confirmation is sent via e-mail</w:t>
      </w:r>
      <w:r w:rsidR="00DD6BD2">
        <w:rPr>
          <w:rFonts w:ascii="Times New Roman" w:hAnsi="Times New Roman" w:cs="Times New Roman"/>
          <w:sz w:val="22"/>
        </w:rPr>
        <w:t>.</w:t>
      </w:r>
    </w:p>
    <w:p w14:paraId="7C3A8F98" w14:textId="56D04DC7" w:rsidR="00515001" w:rsidRPr="00DD6BD2" w:rsidRDefault="00515001" w:rsidP="00DD6BD2">
      <w:pPr>
        <w:jc w:val="both"/>
        <w:rPr>
          <w:rFonts w:ascii="Calibri" w:eastAsia="Times New Roman" w:hAnsi="Calibri" w:cs="Times New Roman"/>
          <w:b/>
          <w:color w:val="000000"/>
          <w:sz w:val="40"/>
          <w:lang w:eastAsia="en-GB"/>
        </w:rPr>
      </w:pPr>
    </w:p>
    <w:p w14:paraId="6DA3C5E2" w14:textId="68CCE098" w:rsidR="00515001" w:rsidRDefault="00515001" w:rsidP="00515001">
      <w:pPr>
        <w:pStyle w:val="Otsikko1"/>
        <w:jc w:val="both"/>
        <w:rPr>
          <w:rFonts w:ascii="Times New Roman" w:hAnsi="Times New Roman" w:cs="Times New Roman"/>
          <w:b/>
          <w:sz w:val="36"/>
          <w:lang w:val="en-US"/>
        </w:rPr>
      </w:pPr>
      <w:r w:rsidRPr="00DD6BD2">
        <w:rPr>
          <w:rFonts w:ascii="Times New Roman" w:hAnsi="Times New Roman" w:cs="Times New Roman"/>
          <w:b/>
          <w:sz w:val="36"/>
          <w:lang w:val="en-US"/>
        </w:rPr>
        <w:t>Implicit Capacity Allocation and Congestion Management</w:t>
      </w:r>
    </w:p>
    <w:p w14:paraId="16D10C86" w14:textId="77777777" w:rsidR="00DD6BD2" w:rsidRPr="00DD6BD2" w:rsidRDefault="00DD6BD2" w:rsidP="00DD6BD2">
      <w:pPr>
        <w:pStyle w:val="Leipteksti"/>
        <w:rPr>
          <w:lang w:val="en-US"/>
        </w:rPr>
      </w:pPr>
    </w:p>
    <w:p w14:paraId="3EEB5F1F" w14:textId="74D59793" w:rsidR="00515001" w:rsidRPr="00DD6BD2" w:rsidRDefault="00515001" w:rsidP="00DD6BD2">
      <w:pPr>
        <w:pStyle w:val="Otsikko1"/>
        <w:numPr>
          <w:ilvl w:val="0"/>
          <w:numId w:val="12"/>
        </w:numPr>
        <w:jc w:val="both"/>
        <w:rPr>
          <w:rFonts w:ascii="Times New Roman" w:hAnsi="Times New Roman" w:cs="Times New Roman"/>
          <w:b/>
          <w:sz w:val="36"/>
          <w:lang w:val="en-US"/>
        </w:rPr>
      </w:pPr>
      <w:r w:rsidRPr="00DD6BD2">
        <w:rPr>
          <w:rFonts w:ascii="Times New Roman" w:hAnsi="Times New Roman" w:cs="Times New Roman"/>
          <w:b/>
          <w:sz w:val="36"/>
          <w:lang w:val="en-US"/>
        </w:rPr>
        <w:t xml:space="preserve">General principles </w:t>
      </w:r>
    </w:p>
    <w:p w14:paraId="30312746" w14:textId="77777777" w:rsidR="00DD6BD2" w:rsidRPr="00DD6BD2" w:rsidRDefault="00DD6BD2" w:rsidP="00DD6BD2">
      <w:pPr>
        <w:pStyle w:val="Luettelokappale"/>
        <w:numPr>
          <w:ilvl w:val="0"/>
          <w:numId w:val="8"/>
        </w:numPr>
        <w:tabs>
          <w:tab w:val="clear" w:pos="1304"/>
          <w:tab w:val="clear" w:pos="2608"/>
          <w:tab w:val="clear" w:pos="3912"/>
          <w:tab w:val="clear" w:pos="5216"/>
          <w:tab w:val="clear" w:pos="6521"/>
          <w:tab w:val="clear" w:pos="7825"/>
        </w:tabs>
        <w:spacing w:line="264" w:lineRule="auto"/>
        <w:contextualSpacing w:val="0"/>
        <w:jc w:val="both"/>
        <w:rPr>
          <w:rFonts w:ascii="Times New Roman" w:hAnsi="Times New Roman" w:cs="Times New Roman"/>
          <w:vanish/>
          <w:color w:val="000000" w:themeColor="text1"/>
          <w:sz w:val="22"/>
        </w:rPr>
      </w:pPr>
    </w:p>
    <w:p w14:paraId="23851B3D" w14:textId="77777777" w:rsidR="00DD6BD2" w:rsidRPr="00DD6BD2" w:rsidRDefault="00DD6BD2" w:rsidP="00DD6BD2">
      <w:pPr>
        <w:pStyle w:val="Luettelokappale"/>
        <w:numPr>
          <w:ilvl w:val="0"/>
          <w:numId w:val="8"/>
        </w:numPr>
        <w:tabs>
          <w:tab w:val="clear" w:pos="1304"/>
          <w:tab w:val="clear" w:pos="2608"/>
          <w:tab w:val="clear" w:pos="3912"/>
          <w:tab w:val="clear" w:pos="5216"/>
          <w:tab w:val="clear" w:pos="6521"/>
          <w:tab w:val="clear" w:pos="7825"/>
        </w:tabs>
        <w:spacing w:line="264" w:lineRule="auto"/>
        <w:contextualSpacing w:val="0"/>
        <w:jc w:val="both"/>
        <w:rPr>
          <w:rFonts w:ascii="Times New Roman" w:hAnsi="Times New Roman" w:cs="Times New Roman"/>
          <w:vanish/>
          <w:color w:val="000000" w:themeColor="text1"/>
          <w:sz w:val="22"/>
        </w:rPr>
      </w:pPr>
    </w:p>
    <w:p w14:paraId="01CADAB6" w14:textId="77777777" w:rsidR="00DD6BD2" w:rsidRPr="00DD6BD2" w:rsidRDefault="00DD6BD2" w:rsidP="00DD6BD2">
      <w:pPr>
        <w:pStyle w:val="Luettelokappale"/>
        <w:numPr>
          <w:ilvl w:val="0"/>
          <w:numId w:val="8"/>
        </w:numPr>
        <w:tabs>
          <w:tab w:val="clear" w:pos="1304"/>
          <w:tab w:val="clear" w:pos="2608"/>
          <w:tab w:val="clear" w:pos="3912"/>
          <w:tab w:val="clear" w:pos="5216"/>
          <w:tab w:val="clear" w:pos="6521"/>
          <w:tab w:val="clear" w:pos="7825"/>
        </w:tabs>
        <w:spacing w:line="264" w:lineRule="auto"/>
        <w:contextualSpacing w:val="0"/>
        <w:jc w:val="both"/>
        <w:rPr>
          <w:rFonts w:ascii="Times New Roman" w:hAnsi="Times New Roman" w:cs="Times New Roman"/>
          <w:vanish/>
          <w:color w:val="000000" w:themeColor="text1"/>
          <w:sz w:val="22"/>
        </w:rPr>
      </w:pPr>
    </w:p>
    <w:p w14:paraId="3A9C6376" w14:textId="77777777" w:rsidR="00DD6BD2" w:rsidRPr="00DD6BD2" w:rsidRDefault="00DD6BD2" w:rsidP="00DD6BD2">
      <w:pPr>
        <w:pStyle w:val="Luettelokappale"/>
        <w:numPr>
          <w:ilvl w:val="0"/>
          <w:numId w:val="8"/>
        </w:numPr>
        <w:tabs>
          <w:tab w:val="clear" w:pos="1304"/>
          <w:tab w:val="clear" w:pos="2608"/>
          <w:tab w:val="clear" w:pos="3912"/>
          <w:tab w:val="clear" w:pos="5216"/>
          <w:tab w:val="clear" w:pos="6521"/>
          <w:tab w:val="clear" w:pos="7825"/>
        </w:tabs>
        <w:spacing w:line="264" w:lineRule="auto"/>
        <w:contextualSpacing w:val="0"/>
        <w:jc w:val="both"/>
        <w:rPr>
          <w:rFonts w:ascii="Times New Roman" w:hAnsi="Times New Roman" w:cs="Times New Roman"/>
          <w:vanish/>
          <w:color w:val="000000" w:themeColor="text1"/>
          <w:sz w:val="22"/>
        </w:rPr>
      </w:pPr>
    </w:p>
    <w:p w14:paraId="66ACF104" w14:textId="18F7FF43" w:rsidR="00515001" w:rsidRPr="00515001" w:rsidRDefault="00515001" w:rsidP="00DD6BD2">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Shippers can submit Nominations and </w:t>
      </w:r>
      <w:proofErr w:type="spellStart"/>
      <w:r w:rsidRPr="00515001">
        <w:rPr>
          <w:rFonts w:ascii="Times New Roman" w:hAnsi="Times New Roman" w:cs="Times New Roman"/>
          <w:color w:val="000000" w:themeColor="text1"/>
          <w:sz w:val="22"/>
        </w:rPr>
        <w:t>Renominations</w:t>
      </w:r>
      <w:proofErr w:type="spellEnd"/>
      <w:r w:rsidRPr="00515001">
        <w:rPr>
          <w:rFonts w:ascii="Times New Roman" w:hAnsi="Times New Roman" w:cs="Times New Roman"/>
          <w:color w:val="000000" w:themeColor="text1"/>
          <w:sz w:val="22"/>
        </w:rPr>
        <w:t xml:space="preserve"> according to Nominations rules </w:t>
      </w:r>
      <w:r w:rsidRPr="004C6FF2">
        <w:rPr>
          <w:rFonts w:ascii="Times New Roman" w:hAnsi="Times New Roman" w:cs="Times New Roman"/>
          <w:color w:val="000000" w:themeColor="text1"/>
          <w:sz w:val="22"/>
        </w:rPr>
        <w:t>described in Rules for Gas Transmission in Finland</w:t>
      </w:r>
      <w:r w:rsidR="00C16DC3">
        <w:rPr>
          <w:rFonts w:ascii="Times New Roman" w:hAnsi="Times New Roman" w:cs="Times New Roman"/>
          <w:color w:val="000000" w:themeColor="text1"/>
          <w:sz w:val="22"/>
        </w:rPr>
        <w:t>*</w:t>
      </w:r>
      <w:r w:rsidRPr="00515001">
        <w:rPr>
          <w:rFonts w:ascii="Times New Roman" w:hAnsi="Times New Roman" w:cs="Times New Roman"/>
          <w:color w:val="000000" w:themeColor="text1"/>
          <w:sz w:val="22"/>
        </w:rPr>
        <w:t xml:space="preserve"> and Common Network Rules in Estonia. </w:t>
      </w:r>
    </w:p>
    <w:p w14:paraId="13A70E9B" w14:textId="5B603692" w:rsidR="00515001" w:rsidRPr="00515001" w:rsidRDefault="00515001" w:rsidP="00515001">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Capacity allocation principle shall be implicit capacity allocation. </w:t>
      </w:r>
      <w:r w:rsidR="007A1CE9" w:rsidRPr="00515001">
        <w:rPr>
          <w:rFonts w:ascii="Times New Roman" w:hAnsi="Times New Roman" w:cs="Times New Roman"/>
          <w:color w:val="000000" w:themeColor="text1"/>
          <w:sz w:val="22"/>
        </w:rPr>
        <w:t>This means submitted Nomination is the request of corresponding amount of capacity.</w:t>
      </w:r>
    </w:p>
    <w:p w14:paraId="0AE81638" w14:textId="77777777" w:rsidR="00515001" w:rsidRPr="00515001" w:rsidRDefault="00515001" w:rsidP="00515001">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Shippers shall implicitly be allocated with capacity </w:t>
      </w:r>
      <w:proofErr w:type="gramStart"/>
      <w:r w:rsidRPr="00515001">
        <w:rPr>
          <w:rFonts w:ascii="Times New Roman" w:hAnsi="Times New Roman" w:cs="Times New Roman"/>
          <w:color w:val="000000" w:themeColor="text1"/>
          <w:sz w:val="22"/>
        </w:rPr>
        <w:t>on the basis of</w:t>
      </w:r>
      <w:proofErr w:type="gramEnd"/>
      <w:r w:rsidRPr="00515001">
        <w:rPr>
          <w:rFonts w:ascii="Times New Roman" w:hAnsi="Times New Roman" w:cs="Times New Roman"/>
          <w:color w:val="000000" w:themeColor="text1"/>
          <w:sz w:val="22"/>
        </w:rPr>
        <w:t xml:space="preserve">: </w:t>
      </w:r>
    </w:p>
    <w:p w14:paraId="04A927E2" w14:textId="77777777"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Confirmed Nominations which have gone through the TSOs local processing of Nominations and the Matching Process. </w:t>
      </w:r>
    </w:p>
    <w:p w14:paraId="686BABCB" w14:textId="77777777"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Trading at the trading platform(s) of potential gas exchange(s) using daily quota to implicitly allocate the capacity according to the concluded trades.</w:t>
      </w:r>
    </w:p>
    <w:p w14:paraId="00A092E1" w14:textId="77777777" w:rsidR="008D3CA4" w:rsidRPr="008D3CA4" w:rsidRDefault="008D3CA4" w:rsidP="008D3CA4">
      <w:pPr>
        <w:tabs>
          <w:tab w:val="clear" w:pos="1304"/>
          <w:tab w:val="clear" w:pos="2608"/>
          <w:tab w:val="clear" w:pos="3912"/>
          <w:tab w:val="clear" w:pos="5216"/>
          <w:tab w:val="clear" w:pos="6521"/>
          <w:tab w:val="clear" w:pos="7825"/>
        </w:tabs>
        <w:rPr>
          <w:rFonts w:ascii="Times New Roman" w:eastAsia="Times New Roman" w:hAnsi="Times New Roman" w:cs="Times New Roman"/>
          <w:vanish/>
          <w:sz w:val="24"/>
          <w:szCs w:val="24"/>
          <w:lang w:val="en-US"/>
        </w:rPr>
      </w:pPr>
    </w:p>
    <w:p w14:paraId="05AA6869" w14:textId="7D087498" w:rsidR="00515001" w:rsidRPr="00C16DC3" w:rsidRDefault="00515001" w:rsidP="0031384A">
      <w:pPr>
        <w:spacing w:line="264" w:lineRule="auto"/>
        <w:jc w:val="both"/>
        <w:rPr>
          <w:rFonts w:ascii="Times New Roman" w:hAnsi="Times New Roman" w:cs="Times New Roman"/>
          <w:b/>
          <w:sz w:val="24"/>
          <w:szCs w:val="24"/>
          <w:lang w:val="en-US"/>
        </w:rPr>
      </w:pPr>
    </w:p>
    <w:p w14:paraId="75743991" w14:textId="77777777" w:rsidR="00515001" w:rsidRPr="00DD6BD2" w:rsidRDefault="00515001" w:rsidP="00515001">
      <w:pPr>
        <w:pStyle w:val="Otsikko1"/>
        <w:numPr>
          <w:ilvl w:val="0"/>
          <w:numId w:val="8"/>
        </w:numPr>
        <w:tabs>
          <w:tab w:val="clear" w:pos="1304"/>
          <w:tab w:val="clear" w:pos="2608"/>
          <w:tab w:val="clear" w:pos="3912"/>
          <w:tab w:val="clear" w:pos="5216"/>
          <w:tab w:val="clear" w:pos="6521"/>
          <w:tab w:val="clear" w:pos="7825"/>
        </w:tabs>
        <w:spacing w:before="240" w:line="259" w:lineRule="auto"/>
        <w:jc w:val="both"/>
        <w:rPr>
          <w:rFonts w:ascii="Times New Roman" w:eastAsiaTheme="minorEastAsia" w:hAnsi="Times New Roman" w:cs="Times New Roman"/>
          <w:b/>
          <w:sz w:val="36"/>
        </w:rPr>
      </w:pPr>
      <w:r w:rsidRPr="00DD6BD2">
        <w:rPr>
          <w:rFonts w:ascii="Times New Roman" w:eastAsiaTheme="minorEastAsia" w:hAnsi="Times New Roman" w:cs="Times New Roman"/>
          <w:b/>
          <w:sz w:val="36"/>
        </w:rPr>
        <w:t xml:space="preserve">Implicit capacity allocation via gas exchange(s) </w:t>
      </w:r>
    </w:p>
    <w:p w14:paraId="06D15D13" w14:textId="77777777" w:rsidR="00515001" w:rsidRPr="00515001" w:rsidRDefault="00515001" w:rsidP="00515001">
      <w:pPr>
        <w:pStyle w:val="Luettelokappale"/>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Part of the capacity shall be offered via trading platform of gas exchange(s) that have signed the respective Implicit Capacity Allocation (‘ICA’) agreement with TSOs.</w:t>
      </w:r>
    </w:p>
    <w:p w14:paraId="28EC5CDF" w14:textId="77777777" w:rsidR="00515001" w:rsidRPr="00515001" w:rsidRDefault="00515001" w:rsidP="00515001">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The following information shall be published on TSOs respective webpages: </w:t>
      </w:r>
    </w:p>
    <w:p w14:paraId="0EB3AEFB" w14:textId="77777777"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Information about active gas exchange(s) offering implicit capacity is published on TSOs respective homepages. </w:t>
      </w:r>
    </w:p>
    <w:p w14:paraId="1E4C901A" w14:textId="77777777"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The amount of capacity (%) given for a gas exchange.</w:t>
      </w:r>
    </w:p>
    <w:p w14:paraId="7A4102C5" w14:textId="77777777" w:rsidR="00515001" w:rsidRPr="00515001" w:rsidRDefault="00515001" w:rsidP="00515001">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TSOs shall treat all gas exchanges offering implicit capacity equally. </w:t>
      </w:r>
    </w:p>
    <w:p w14:paraId="2B142ACA" w14:textId="77777777" w:rsidR="00515001" w:rsidRPr="00515001" w:rsidRDefault="00515001" w:rsidP="00515001">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Amount of capacity given to each respective gas exchange is agreed between TSOs and gas exchange operator and any change in the amount of capacity given is communicated via TSOs respective homepages at least three days prior to the change.  </w:t>
      </w:r>
    </w:p>
    <w:p w14:paraId="04DE737D" w14:textId="77777777" w:rsidR="002F4C53" w:rsidRPr="002F4C53" w:rsidRDefault="002F4C53" w:rsidP="002F4C53">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2F4C53">
        <w:rPr>
          <w:rFonts w:ascii="Times New Roman" w:hAnsi="Times New Roman" w:cs="Times New Roman"/>
          <w:color w:val="000000" w:themeColor="text1"/>
          <w:sz w:val="22"/>
        </w:rPr>
        <w:t xml:space="preserve">The residual amount of capacity given for day ahead shall be surrendered by Trading platform by the deadline agreed between gas exchange and TSOs. </w:t>
      </w:r>
    </w:p>
    <w:p w14:paraId="65013762" w14:textId="77777777" w:rsidR="002F4C53" w:rsidRPr="002F4C53" w:rsidRDefault="002F4C53" w:rsidP="002F4C53">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sz w:val="22"/>
        </w:rPr>
      </w:pPr>
      <w:r w:rsidRPr="002F4C53">
        <w:rPr>
          <w:rFonts w:ascii="Times New Roman" w:hAnsi="Times New Roman" w:cs="Times New Roman"/>
          <w:sz w:val="22"/>
        </w:rPr>
        <w:t xml:space="preserve">TSOs shall coordinate daily and within-day offered capacity values given to gas exchange for implicit capacity allocation </w:t>
      </w:r>
      <w:r w:rsidRPr="002F4C53">
        <w:rPr>
          <w:rFonts w:ascii="Times New Roman" w:hAnsi="Times New Roman" w:cs="Times New Roman"/>
          <w:color w:val="000000" w:themeColor="text1"/>
          <w:sz w:val="22"/>
        </w:rPr>
        <w:t>by the deadline agreed between gas exchange and TSOs</w:t>
      </w:r>
      <w:r w:rsidRPr="002F4C53">
        <w:rPr>
          <w:rFonts w:ascii="Times New Roman" w:hAnsi="Times New Roman" w:cs="Times New Roman"/>
          <w:sz w:val="22"/>
        </w:rPr>
        <w:t>.</w:t>
      </w:r>
    </w:p>
    <w:p w14:paraId="0805627E" w14:textId="31BE775A" w:rsidR="00515001" w:rsidRDefault="00F31571" w:rsidP="00F31571">
      <w:pPr>
        <w:pStyle w:val="Luettelokappale"/>
        <w:numPr>
          <w:ilvl w:val="1"/>
          <w:numId w:val="8"/>
        </w:numPr>
        <w:tabs>
          <w:tab w:val="clear" w:pos="1304"/>
          <w:tab w:val="clear" w:pos="2608"/>
          <w:tab w:val="clear" w:pos="3912"/>
          <w:tab w:val="clear" w:pos="5216"/>
          <w:tab w:val="clear" w:pos="6521"/>
          <w:tab w:val="clear" w:pos="7825"/>
        </w:tabs>
        <w:spacing w:after="160" w:line="259"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 </w:t>
      </w:r>
      <w:r w:rsidR="00515001" w:rsidRPr="00515001">
        <w:rPr>
          <w:rFonts w:ascii="Times New Roman" w:hAnsi="Times New Roman" w:cs="Times New Roman"/>
          <w:color w:val="000000" w:themeColor="text1"/>
          <w:sz w:val="22"/>
        </w:rPr>
        <w:t xml:space="preserve">TSOs shall reserve part of </w:t>
      </w:r>
      <w:proofErr w:type="spellStart"/>
      <w:r w:rsidR="002F4C53">
        <w:rPr>
          <w:rFonts w:ascii="Times New Roman" w:hAnsi="Times New Roman" w:cs="Times New Roman"/>
          <w:color w:val="000000" w:themeColor="text1"/>
          <w:sz w:val="22"/>
        </w:rPr>
        <w:t>Balticconnector</w:t>
      </w:r>
      <w:proofErr w:type="spellEnd"/>
      <w:r w:rsidR="00515001" w:rsidRPr="00515001">
        <w:rPr>
          <w:rFonts w:ascii="Times New Roman" w:hAnsi="Times New Roman" w:cs="Times New Roman"/>
          <w:color w:val="000000" w:themeColor="text1"/>
          <w:sz w:val="22"/>
        </w:rPr>
        <w:t xml:space="preserve"> </w:t>
      </w:r>
      <w:r w:rsidR="002F4C53">
        <w:rPr>
          <w:rFonts w:ascii="Times New Roman" w:hAnsi="Times New Roman" w:cs="Times New Roman"/>
          <w:color w:val="000000" w:themeColor="text1"/>
          <w:sz w:val="22"/>
        </w:rPr>
        <w:t>T</w:t>
      </w:r>
      <w:r w:rsidR="00515001" w:rsidRPr="00515001">
        <w:rPr>
          <w:rFonts w:ascii="Times New Roman" w:hAnsi="Times New Roman" w:cs="Times New Roman"/>
          <w:color w:val="000000" w:themeColor="text1"/>
          <w:sz w:val="22"/>
        </w:rPr>
        <w:t xml:space="preserve">echnical </w:t>
      </w:r>
      <w:r w:rsidR="002F4C53">
        <w:rPr>
          <w:rFonts w:ascii="Times New Roman" w:hAnsi="Times New Roman" w:cs="Times New Roman"/>
          <w:color w:val="000000" w:themeColor="text1"/>
          <w:sz w:val="22"/>
        </w:rPr>
        <w:t>C</w:t>
      </w:r>
      <w:r w:rsidR="00515001" w:rsidRPr="00515001">
        <w:rPr>
          <w:rFonts w:ascii="Times New Roman" w:hAnsi="Times New Roman" w:cs="Times New Roman"/>
          <w:color w:val="000000" w:themeColor="text1"/>
          <w:sz w:val="22"/>
        </w:rPr>
        <w:t>apacity for implicit allocation. The exact distribution of capacity allocated by TSOs shall be published on TSOs on relevant homepages.</w:t>
      </w:r>
    </w:p>
    <w:p w14:paraId="1269DC11" w14:textId="115BE52B" w:rsidR="00C25748" w:rsidRDefault="00C25748" w:rsidP="00C25748">
      <w:pPr>
        <w:tabs>
          <w:tab w:val="clear" w:pos="1304"/>
          <w:tab w:val="clear" w:pos="2608"/>
          <w:tab w:val="clear" w:pos="3912"/>
          <w:tab w:val="clear" w:pos="5216"/>
          <w:tab w:val="clear" w:pos="6521"/>
          <w:tab w:val="clear" w:pos="7825"/>
        </w:tabs>
        <w:spacing w:after="160" w:line="259" w:lineRule="auto"/>
        <w:jc w:val="both"/>
        <w:rPr>
          <w:rFonts w:ascii="Times New Roman" w:hAnsi="Times New Roman" w:cs="Times New Roman"/>
          <w:color w:val="000000" w:themeColor="text1"/>
          <w:sz w:val="22"/>
        </w:rPr>
      </w:pPr>
    </w:p>
    <w:p w14:paraId="0D735547" w14:textId="1C9B302E" w:rsidR="002F4C53" w:rsidRDefault="002F4C53" w:rsidP="00C25748">
      <w:pPr>
        <w:tabs>
          <w:tab w:val="clear" w:pos="1304"/>
          <w:tab w:val="clear" w:pos="2608"/>
          <w:tab w:val="clear" w:pos="3912"/>
          <w:tab w:val="clear" w:pos="5216"/>
          <w:tab w:val="clear" w:pos="6521"/>
          <w:tab w:val="clear" w:pos="7825"/>
        </w:tabs>
        <w:spacing w:after="160" w:line="259" w:lineRule="auto"/>
        <w:jc w:val="both"/>
        <w:rPr>
          <w:rFonts w:ascii="Times New Roman" w:hAnsi="Times New Roman" w:cs="Times New Roman"/>
          <w:color w:val="000000" w:themeColor="text1"/>
          <w:sz w:val="22"/>
        </w:rPr>
      </w:pPr>
    </w:p>
    <w:p w14:paraId="08940EB6" w14:textId="77777777" w:rsidR="002F4C53" w:rsidRDefault="002F4C53" w:rsidP="00C25748">
      <w:pPr>
        <w:tabs>
          <w:tab w:val="clear" w:pos="1304"/>
          <w:tab w:val="clear" w:pos="2608"/>
          <w:tab w:val="clear" w:pos="3912"/>
          <w:tab w:val="clear" w:pos="5216"/>
          <w:tab w:val="clear" w:pos="6521"/>
          <w:tab w:val="clear" w:pos="7825"/>
        </w:tabs>
        <w:spacing w:after="160" w:line="259" w:lineRule="auto"/>
        <w:jc w:val="both"/>
        <w:rPr>
          <w:rFonts w:ascii="Times New Roman" w:hAnsi="Times New Roman" w:cs="Times New Roman"/>
          <w:color w:val="000000" w:themeColor="text1"/>
          <w:sz w:val="22"/>
        </w:rPr>
      </w:pPr>
    </w:p>
    <w:p w14:paraId="6643AEBB" w14:textId="4D93195E" w:rsidR="00C25748" w:rsidRDefault="00C25748" w:rsidP="00C25748">
      <w:pPr>
        <w:tabs>
          <w:tab w:val="clear" w:pos="1304"/>
          <w:tab w:val="clear" w:pos="2608"/>
          <w:tab w:val="clear" w:pos="3912"/>
          <w:tab w:val="clear" w:pos="5216"/>
          <w:tab w:val="clear" w:pos="6521"/>
          <w:tab w:val="clear" w:pos="7825"/>
        </w:tabs>
        <w:spacing w:after="160" w:line="259" w:lineRule="auto"/>
        <w:jc w:val="both"/>
        <w:rPr>
          <w:rFonts w:ascii="Times New Roman" w:hAnsi="Times New Roman" w:cs="Times New Roman"/>
          <w:color w:val="000000" w:themeColor="text1"/>
          <w:sz w:val="22"/>
        </w:rPr>
      </w:pPr>
    </w:p>
    <w:p w14:paraId="1F411865" w14:textId="1F51AE17" w:rsidR="00C25748" w:rsidRDefault="00C25748" w:rsidP="00C25748">
      <w:pPr>
        <w:tabs>
          <w:tab w:val="clear" w:pos="1304"/>
          <w:tab w:val="clear" w:pos="2608"/>
          <w:tab w:val="clear" w:pos="3912"/>
          <w:tab w:val="clear" w:pos="5216"/>
          <w:tab w:val="clear" w:pos="6521"/>
          <w:tab w:val="clear" w:pos="7825"/>
        </w:tabs>
        <w:spacing w:after="160" w:line="259" w:lineRule="auto"/>
        <w:jc w:val="both"/>
        <w:rPr>
          <w:rFonts w:ascii="Times New Roman" w:hAnsi="Times New Roman" w:cs="Times New Roman"/>
          <w:color w:val="000000" w:themeColor="text1"/>
          <w:sz w:val="22"/>
        </w:rPr>
      </w:pPr>
    </w:p>
    <w:p w14:paraId="6F2B9C3E" w14:textId="21673958" w:rsidR="00C25748" w:rsidRPr="003121F2" w:rsidRDefault="00C25748" w:rsidP="00C25748">
      <w:pPr>
        <w:tabs>
          <w:tab w:val="clear" w:pos="1304"/>
          <w:tab w:val="clear" w:pos="2608"/>
          <w:tab w:val="clear" w:pos="3912"/>
          <w:tab w:val="clear" w:pos="5216"/>
          <w:tab w:val="clear" w:pos="6521"/>
          <w:tab w:val="clear" w:pos="7825"/>
        </w:tabs>
        <w:rPr>
          <w:rFonts w:cs="Times New Roman"/>
          <w:i/>
          <w:szCs w:val="18"/>
          <w:lang w:val="en-US"/>
        </w:rPr>
      </w:pPr>
      <w:r w:rsidRPr="003121F2">
        <w:rPr>
          <w:rFonts w:ascii="Times New Roman" w:hAnsi="Times New Roman" w:cs="Times New Roman"/>
          <w:i/>
          <w:szCs w:val="18"/>
        </w:rPr>
        <w:t>*</w:t>
      </w:r>
      <w:r w:rsidR="00D4755D">
        <w:rPr>
          <w:rFonts w:ascii="Times New Roman" w:hAnsi="Times New Roman" w:cs="Times New Roman"/>
          <w:i/>
          <w:szCs w:val="18"/>
        </w:rPr>
        <w:t>Content</w:t>
      </w:r>
      <w:r w:rsidRPr="003121F2">
        <w:rPr>
          <w:rFonts w:ascii="Times New Roman" w:hAnsi="Times New Roman" w:cs="Times New Roman"/>
          <w:i/>
          <w:szCs w:val="18"/>
        </w:rPr>
        <w:t xml:space="preserve"> translated from Rules for </w:t>
      </w:r>
      <w:r w:rsidR="00D4755D">
        <w:rPr>
          <w:rFonts w:ascii="Times New Roman" w:hAnsi="Times New Roman" w:cs="Times New Roman"/>
          <w:i/>
          <w:szCs w:val="18"/>
        </w:rPr>
        <w:t>G</w:t>
      </w:r>
      <w:r w:rsidRPr="003121F2">
        <w:rPr>
          <w:rFonts w:ascii="Times New Roman" w:hAnsi="Times New Roman" w:cs="Times New Roman"/>
          <w:i/>
          <w:szCs w:val="18"/>
        </w:rPr>
        <w:t xml:space="preserve">as </w:t>
      </w:r>
      <w:r w:rsidR="00D4755D">
        <w:rPr>
          <w:rFonts w:ascii="Times New Roman" w:hAnsi="Times New Roman" w:cs="Times New Roman"/>
          <w:i/>
          <w:szCs w:val="18"/>
        </w:rPr>
        <w:t>T</w:t>
      </w:r>
      <w:r w:rsidRPr="003121F2">
        <w:rPr>
          <w:rFonts w:ascii="Times New Roman" w:hAnsi="Times New Roman" w:cs="Times New Roman"/>
          <w:i/>
          <w:szCs w:val="18"/>
        </w:rPr>
        <w:t>ransmission in Finland</w:t>
      </w:r>
      <w:r w:rsidRPr="003121F2">
        <w:rPr>
          <w:rFonts w:ascii="Times New Roman" w:hAnsi="Times New Roman" w:cs="Times New Roman"/>
          <w:i/>
          <w:szCs w:val="18"/>
          <w:lang w:val="en-US"/>
        </w:rPr>
        <w:t xml:space="preserve"> can be found at the end of this document</w:t>
      </w:r>
    </w:p>
    <w:p w14:paraId="51A033D2" w14:textId="77777777" w:rsidR="00515001" w:rsidRPr="003C788D" w:rsidRDefault="00515001" w:rsidP="003C788D">
      <w:pPr>
        <w:pStyle w:val="Otsikko1"/>
        <w:numPr>
          <w:ilvl w:val="0"/>
          <w:numId w:val="8"/>
        </w:numPr>
        <w:jc w:val="both"/>
        <w:rPr>
          <w:rFonts w:ascii="Times New Roman" w:eastAsiaTheme="minorEastAsia" w:hAnsi="Times New Roman" w:cs="Times New Roman"/>
          <w:b/>
          <w:sz w:val="36"/>
        </w:rPr>
      </w:pPr>
      <w:r w:rsidRPr="003C788D">
        <w:rPr>
          <w:rFonts w:ascii="Times New Roman" w:eastAsiaTheme="minorEastAsia" w:hAnsi="Times New Roman" w:cs="Times New Roman"/>
          <w:b/>
          <w:sz w:val="36"/>
        </w:rPr>
        <w:lastRenderedPageBreak/>
        <w:t>Congestion management procedure</w:t>
      </w:r>
    </w:p>
    <w:p w14:paraId="09F0D409" w14:textId="77777777" w:rsidR="00515001" w:rsidRPr="00515001" w:rsidRDefault="00515001" w:rsidP="00515001">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In case of physical congestion for implicit capacity allocation procedure the following principles are applied:</w:t>
      </w:r>
    </w:p>
    <w:p w14:paraId="77032174" w14:textId="4144B970"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Gas quantities nominated by gas exchange with valid implicit capacity agreement are treated as </w:t>
      </w:r>
      <w:r w:rsidR="002F4C53">
        <w:rPr>
          <w:rFonts w:ascii="Times New Roman" w:hAnsi="Times New Roman" w:cs="Times New Roman"/>
          <w:color w:val="000000" w:themeColor="text1"/>
          <w:sz w:val="22"/>
        </w:rPr>
        <w:t>Confirmed</w:t>
      </w:r>
      <w:r w:rsidRPr="00515001">
        <w:rPr>
          <w:rFonts w:ascii="Times New Roman" w:hAnsi="Times New Roman" w:cs="Times New Roman"/>
          <w:color w:val="000000" w:themeColor="text1"/>
          <w:sz w:val="22"/>
        </w:rPr>
        <w:t xml:space="preserve"> Nominations.</w:t>
      </w:r>
    </w:p>
    <w:p w14:paraId="4E274438" w14:textId="77777777"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All Nominations submitted directly to the TSOs are reduced using pro-rata method.</w:t>
      </w:r>
    </w:p>
    <w:p w14:paraId="5370F388" w14:textId="6235C243" w:rsidR="00515001" w:rsidRPr="00515001" w:rsidRDefault="00515001" w:rsidP="00515001">
      <w:pPr>
        <w:numPr>
          <w:ilvl w:val="1"/>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To prevent hoarding, TSOs shall apply </w:t>
      </w:r>
      <w:r w:rsidR="00050AD8">
        <w:rPr>
          <w:rFonts w:ascii="Times New Roman" w:hAnsi="Times New Roman" w:cs="Times New Roman"/>
          <w:color w:val="000000" w:themeColor="text1"/>
          <w:sz w:val="22"/>
        </w:rPr>
        <w:t xml:space="preserve">an </w:t>
      </w:r>
      <w:r w:rsidRPr="00515001">
        <w:rPr>
          <w:rFonts w:ascii="Times New Roman" w:hAnsi="Times New Roman" w:cs="Times New Roman"/>
          <w:color w:val="000000" w:themeColor="text1"/>
          <w:sz w:val="22"/>
        </w:rPr>
        <w:t>underutilization fee with the following principles:</w:t>
      </w:r>
    </w:p>
    <w:p w14:paraId="2F3B846B" w14:textId="6A54BED2"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If the initial nominated quantity differs from </w:t>
      </w:r>
      <w:r w:rsidR="00050AD8">
        <w:rPr>
          <w:rFonts w:ascii="Times New Roman" w:hAnsi="Times New Roman" w:cs="Times New Roman"/>
          <w:color w:val="000000" w:themeColor="text1"/>
          <w:sz w:val="22"/>
        </w:rPr>
        <w:t xml:space="preserve">the </w:t>
      </w:r>
      <w:proofErr w:type="spellStart"/>
      <w:r w:rsidRPr="00515001">
        <w:rPr>
          <w:rFonts w:ascii="Times New Roman" w:hAnsi="Times New Roman" w:cs="Times New Roman"/>
          <w:color w:val="000000" w:themeColor="text1"/>
          <w:sz w:val="22"/>
        </w:rPr>
        <w:t>renominated</w:t>
      </w:r>
      <w:proofErr w:type="spellEnd"/>
      <w:r w:rsidRPr="00515001">
        <w:rPr>
          <w:rFonts w:ascii="Times New Roman" w:hAnsi="Times New Roman" w:cs="Times New Roman"/>
          <w:color w:val="000000" w:themeColor="text1"/>
          <w:sz w:val="22"/>
        </w:rPr>
        <w:t xml:space="preserve"> quantity more than </w:t>
      </w:r>
      <w:r w:rsidR="003F6730">
        <w:rPr>
          <w:rFonts w:ascii="Times New Roman" w:hAnsi="Times New Roman" w:cs="Times New Roman"/>
          <w:color w:val="000000" w:themeColor="text1"/>
          <w:sz w:val="22"/>
        </w:rPr>
        <w:t>a</w:t>
      </w:r>
      <w:r w:rsidR="00050AD8">
        <w:rPr>
          <w:rFonts w:ascii="Times New Roman" w:hAnsi="Times New Roman" w:cs="Times New Roman"/>
          <w:color w:val="000000" w:themeColor="text1"/>
          <w:sz w:val="22"/>
        </w:rPr>
        <w:t xml:space="preserve"> </w:t>
      </w:r>
      <w:r w:rsidRPr="00515001">
        <w:rPr>
          <w:rFonts w:ascii="Times New Roman" w:hAnsi="Times New Roman" w:cs="Times New Roman"/>
          <w:color w:val="000000" w:themeColor="text1"/>
          <w:sz w:val="22"/>
        </w:rPr>
        <w:t xml:space="preserve">tolerance limit specified by TSOs, the TSOs have </w:t>
      </w:r>
      <w:r w:rsidR="003F6730">
        <w:rPr>
          <w:rFonts w:ascii="Times New Roman" w:hAnsi="Times New Roman" w:cs="Times New Roman"/>
          <w:color w:val="000000" w:themeColor="text1"/>
          <w:sz w:val="22"/>
        </w:rPr>
        <w:t xml:space="preserve">a </w:t>
      </w:r>
      <w:r w:rsidRPr="00515001">
        <w:rPr>
          <w:rFonts w:ascii="Times New Roman" w:hAnsi="Times New Roman" w:cs="Times New Roman"/>
          <w:color w:val="000000" w:themeColor="text1"/>
          <w:sz w:val="22"/>
        </w:rPr>
        <w:t xml:space="preserve">right to apply </w:t>
      </w:r>
      <w:r w:rsidR="003F6730">
        <w:rPr>
          <w:rFonts w:ascii="Times New Roman" w:hAnsi="Times New Roman" w:cs="Times New Roman"/>
          <w:color w:val="000000" w:themeColor="text1"/>
          <w:sz w:val="22"/>
        </w:rPr>
        <w:t xml:space="preserve">the </w:t>
      </w:r>
      <w:r w:rsidRPr="00515001">
        <w:rPr>
          <w:rFonts w:ascii="Times New Roman" w:hAnsi="Times New Roman" w:cs="Times New Roman"/>
          <w:color w:val="000000" w:themeColor="text1"/>
          <w:sz w:val="22"/>
        </w:rPr>
        <w:t xml:space="preserve">underutilization fee for the quantity exceeding the tolerance limit. </w:t>
      </w:r>
    </w:p>
    <w:p w14:paraId="1953D8D0" w14:textId="710B4CFD"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T</w:t>
      </w:r>
      <w:r w:rsidR="003F6730">
        <w:rPr>
          <w:rFonts w:ascii="Times New Roman" w:hAnsi="Times New Roman" w:cs="Times New Roman"/>
          <w:color w:val="000000" w:themeColor="text1"/>
          <w:sz w:val="22"/>
        </w:rPr>
        <w:t>he t</w:t>
      </w:r>
      <w:r w:rsidRPr="00515001">
        <w:rPr>
          <w:rFonts w:ascii="Times New Roman" w:hAnsi="Times New Roman" w:cs="Times New Roman"/>
          <w:color w:val="000000" w:themeColor="text1"/>
          <w:sz w:val="22"/>
        </w:rPr>
        <w:t xml:space="preserve">olerance limit is published on </w:t>
      </w:r>
      <w:r w:rsidR="00D729AA">
        <w:rPr>
          <w:rFonts w:ascii="Times New Roman" w:hAnsi="Times New Roman" w:cs="Times New Roman"/>
          <w:color w:val="000000" w:themeColor="text1"/>
          <w:sz w:val="22"/>
        </w:rPr>
        <w:t xml:space="preserve">the </w:t>
      </w:r>
      <w:r w:rsidRPr="00515001">
        <w:rPr>
          <w:rFonts w:ascii="Times New Roman" w:hAnsi="Times New Roman" w:cs="Times New Roman"/>
          <w:color w:val="000000" w:themeColor="text1"/>
          <w:sz w:val="22"/>
        </w:rPr>
        <w:t>TSOs respective homepages and may be changed after a public consultation with prior notification to the Shippers.</w:t>
      </w:r>
    </w:p>
    <w:p w14:paraId="40B1522B" w14:textId="77777777" w:rsidR="00515001" w:rsidRPr="00515001" w:rsidRDefault="00515001" w:rsidP="00515001">
      <w:pPr>
        <w:numPr>
          <w:ilvl w:val="2"/>
          <w:numId w:val="8"/>
        </w:numPr>
        <w:tabs>
          <w:tab w:val="clear" w:pos="1304"/>
          <w:tab w:val="clear" w:pos="2608"/>
          <w:tab w:val="clear" w:pos="3912"/>
          <w:tab w:val="clear" w:pos="5216"/>
          <w:tab w:val="clear" w:pos="6521"/>
          <w:tab w:val="clear" w:pos="7825"/>
        </w:tabs>
        <w:spacing w:line="264" w:lineRule="auto"/>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Changed tolerance limit does not apply to Gas Days already passed. </w:t>
      </w:r>
    </w:p>
    <w:p w14:paraId="6DAA14B5" w14:textId="77777777" w:rsidR="00515001" w:rsidRPr="00515001" w:rsidRDefault="00515001" w:rsidP="00515001">
      <w:pPr>
        <w:pStyle w:val="NormaaliWWW"/>
        <w:spacing w:before="0" w:beforeAutospacing="0" w:after="0" w:afterAutospacing="0"/>
        <w:jc w:val="both"/>
        <w:rPr>
          <w:rFonts w:ascii="Calibri" w:hAnsi="Calibri" w:cs="Calibri"/>
          <w:sz w:val="36"/>
          <w:szCs w:val="22"/>
        </w:rPr>
      </w:pPr>
    </w:p>
    <w:p w14:paraId="30E962D5" w14:textId="77777777" w:rsidR="00515001" w:rsidRPr="00630F8F" w:rsidRDefault="00515001" w:rsidP="00515001">
      <w:pPr>
        <w:jc w:val="both"/>
        <w:rPr>
          <w:rFonts w:ascii="Calibri" w:eastAsia="Times New Roman" w:hAnsi="Calibri" w:cs="Times New Roman"/>
          <w:b/>
          <w:color w:val="000000"/>
          <w:sz w:val="36"/>
          <w:lang w:eastAsia="en-GB"/>
        </w:rPr>
      </w:pPr>
      <w:r w:rsidRPr="00630F8F">
        <w:rPr>
          <w:rFonts w:ascii="Calibri" w:eastAsia="Times New Roman" w:hAnsi="Calibri" w:cs="Times New Roman"/>
          <w:b/>
          <w:color w:val="000000"/>
          <w:sz w:val="36"/>
          <w:lang w:eastAsia="en-GB"/>
        </w:rPr>
        <w:t>Questions/Proposals related to Implicit Capacity Allocation and Congestion Management</w:t>
      </w:r>
    </w:p>
    <w:p w14:paraId="0481619F" w14:textId="77777777" w:rsidR="00515001" w:rsidRPr="00515001" w:rsidRDefault="00515001" w:rsidP="00515001">
      <w:pPr>
        <w:jc w:val="both"/>
        <w:rPr>
          <w:rFonts w:ascii="Times New Roman" w:hAnsi="Times New Roman" w:cs="Times New Roman"/>
          <w:b/>
          <w:color w:val="000000" w:themeColor="text1"/>
          <w:sz w:val="22"/>
        </w:rPr>
      </w:pPr>
    </w:p>
    <w:p w14:paraId="728AB4E0" w14:textId="77777777" w:rsidR="00515001" w:rsidRPr="00515001" w:rsidRDefault="00515001" w:rsidP="00515001">
      <w:pPr>
        <w:jc w:val="both"/>
        <w:rPr>
          <w:rFonts w:ascii="Times New Roman" w:hAnsi="Times New Roman" w:cs="Times New Roman"/>
          <w:b/>
          <w:color w:val="000000" w:themeColor="text1"/>
          <w:sz w:val="22"/>
        </w:rPr>
      </w:pPr>
      <w:r w:rsidRPr="00515001">
        <w:rPr>
          <w:rFonts w:ascii="Times New Roman" w:hAnsi="Times New Roman" w:cs="Times New Roman"/>
          <w:b/>
          <w:color w:val="000000" w:themeColor="text1"/>
          <w:sz w:val="22"/>
        </w:rPr>
        <w:t xml:space="preserve">For the above section, please find questions raised by TSOs for which TSOs would appreciate feedback from stakeholders. Stakeholders are encouraged to add the open question/issues to the table below. </w:t>
      </w:r>
    </w:p>
    <w:p w14:paraId="4E49E458" w14:textId="77777777" w:rsidR="00515001" w:rsidRPr="00515001" w:rsidRDefault="00515001" w:rsidP="00515001">
      <w:pPr>
        <w:jc w:val="both"/>
        <w:rPr>
          <w:rFonts w:ascii="Times New Roman" w:hAnsi="Times New Roman" w:cs="Times New Roman"/>
          <w:b/>
          <w:color w:val="000000" w:themeColor="text1"/>
          <w:sz w:val="22"/>
        </w:rPr>
      </w:pPr>
    </w:p>
    <w:tbl>
      <w:tblPr>
        <w:tblStyle w:val="TaulukkoRuudukko"/>
        <w:tblW w:w="5000" w:type="pct"/>
        <w:tblLook w:val="04A0" w:firstRow="1" w:lastRow="0" w:firstColumn="1" w:lastColumn="0" w:noHBand="0" w:noVBand="1"/>
      </w:tblPr>
      <w:tblGrid>
        <w:gridCol w:w="1250"/>
        <w:gridCol w:w="5278"/>
        <w:gridCol w:w="3265"/>
      </w:tblGrid>
      <w:tr w:rsidR="00515001" w:rsidRPr="00515001" w14:paraId="37CF29EF" w14:textId="77777777" w:rsidTr="00565141">
        <w:tc>
          <w:tcPr>
            <w:tcW w:w="638" w:type="pct"/>
          </w:tcPr>
          <w:p w14:paraId="03C9DE43"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Reference</w:t>
            </w:r>
          </w:p>
        </w:tc>
        <w:tc>
          <w:tcPr>
            <w:tcW w:w="2695" w:type="pct"/>
          </w:tcPr>
          <w:p w14:paraId="72605F18"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Question/Issue</w:t>
            </w:r>
          </w:p>
        </w:tc>
        <w:tc>
          <w:tcPr>
            <w:tcW w:w="1667" w:type="pct"/>
          </w:tcPr>
          <w:p w14:paraId="762D02BE"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Stakeholder comment</w:t>
            </w:r>
          </w:p>
        </w:tc>
      </w:tr>
      <w:tr w:rsidR="00515001" w:rsidRPr="00515001" w14:paraId="4FBD757F" w14:textId="77777777" w:rsidTr="00565141">
        <w:tc>
          <w:tcPr>
            <w:tcW w:w="638" w:type="pct"/>
          </w:tcPr>
          <w:p w14:paraId="218899DB" w14:textId="0BCD2737" w:rsidR="00515001" w:rsidRPr="00515001" w:rsidRDefault="009A2F4C" w:rsidP="00565141">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4</w:t>
            </w:r>
            <w:r w:rsidR="00515001" w:rsidRPr="00515001">
              <w:rPr>
                <w:rFonts w:ascii="Times New Roman" w:hAnsi="Times New Roman" w:cs="Times New Roman"/>
                <w:color w:val="000000" w:themeColor="text1"/>
                <w:sz w:val="22"/>
              </w:rPr>
              <w:t>.2</w:t>
            </w:r>
            <w:r w:rsidR="00B0342D">
              <w:rPr>
                <w:rFonts w:ascii="Times New Roman" w:hAnsi="Times New Roman" w:cs="Times New Roman"/>
                <w:color w:val="000000" w:themeColor="text1"/>
                <w:sz w:val="22"/>
              </w:rPr>
              <w:t>.</w:t>
            </w:r>
          </w:p>
        </w:tc>
        <w:tc>
          <w:tcPr>
            <w:tcW w:w="2695" w:type="pct"/>
          </w:tcPr>
          <w:p w14:paraId="10832CD8" w14:textId="70B988CC"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 xml:space="preserve">TSOs have asked an exemption from NRAs </w:t>
            </w:r>
            <w:r w:rsidR="00C25748">
              <w:rPr>
                <w:rFonts w:ascii="Times New Roman" w:hAnsi="Times New Roman" w:cs="Times New Roman"/>
                <w:color w:val="000000" w:themeColor="text1"/>
                <w:sz w:val="22"/>
              </w:rPr>
              <w:t>not</w:t>
            </w:r>
            <w:r w:rsidR="00545327">
              <w:rPr>
                <w:rFonts w:ascii="Times New Roman" w:hAnsi="Times New Roman" w:cs="Times New Roman"/>
                <w:color w:val="000000" w:themeColor="text1"/>
                <w:sz w:val="22"/>
              </w:rPr>
              <w:t xml:space="preserve"> to</w:t>
            </w:r>
            <w:r w:rsidRPr="00515001">
              <w:rPr>
                <w:rFonts w:ascii="Times New Roman" w:hAnsi="Times New Roman" w:cs="Times New Roman"/>
                <w:color w:val="000000" w:themeColor="text1"/>
                <w:sz w:val="22"/>
              </w:rPr>
              <w:t xml:space="preserve"> implement the capacity auction, as it would not be cost efficient way to allocate capacity. Even though there is no final decision</w:t>
            </w:r>
            <w:r w:rsidR="00CC13CF">
              <w:rPr>
                <w:rFonts w:ascii="Times New Roman" w:hAnsi="Times New Roman" w:cs="Times New Roman"/>
                <w:color w:val="000000" w:themeColor="text1"/>
                <w:sz w:val="22"/>
              </w:rPr>
              <w:t>,</w:t>
            </w:r>
            <w:r w:rsidRPr="00515001">
              <w:rPr>
                <w:rFonts w:ascii="Times New Roman" w:hAnsi="Times New Roman" w:cs="Times New Roman"/>
                <w:color w:val="000000" w:themeColor="text1"/>
                <w:sz w:val="22"/>
              </w:rPr>
              <w:t xml:space="preserve"> TSOs are providing for this public consultation capacity allocation mechanism based on implicit allocation</w:t>
            </w:r>
            <w:r w:rsidR="00F23B4A">
              <w:rPr>
                <w:rFonts w:ascii="Times New Roman" w:hAnsi="Times New Roman" w:cs="Times New Roman"/>
                <w:color w:val="000000" w:themeColor="text1"/>
                <w:sz w:val="22"/>
              </w:rPr>
              <w:t xml:space="preserve">, which </w:t>
            </w:r>
            <w:r w:rsidRPr="00515001">
              <w:rPr>
                <w:rFonts w:ascii="Times New Roman" w:hAnsi="Times New Roman" w:cs="Times New Roman"/>
                <w:color w:val="000000" w:themeColor="text1"/>
                <w:sz w:val="22"/>
              </w:rPr>
              <w:t>is</w:t>
            </w:r>
            <w:r w:rsidR="00F23B4A">
              <w:rPr>
                <w:rFonts w:ascii="Times New Roman" w:hAnsi="Times New Roman" w:cs="Times New Roman"/>
                <w:color w:val="000000" w:themeColor="text1"/>
                <w:sz w:val="22"/>
              </w:rPr>
              <w:t xml:space="preserve"> the only alternative</w:t>
            </w:r>
            <w:r w:rsidRPr="00515001">
              <w:rPr>
                <w:rFonts w:ascii="Times New Roman" w:hAnsi="Times New Roman" w:cs="Times New Roman"/>
                <w:color w:val="000000" w:themeColor="text1"/>
                <w:sz w:val="22"/>
              </w:rPr>
              <w:t xml:space="preserve"> recognized </w:t>
            </w:r>
            <w:r w:rsidR="00F23B4A">
              <w:rPr>
                <w:rFonts w:ascii="Times New Roman" w:hAnsi="Times New Roman" w:cs="Times New Roman"/>
                <w:color w:val="000000" w:themeColor="text1"/>
                <w:sz w:val="22"/>
              </w:rPr>
              <w:t>by</w:t>
            </w:r>
            <w:r w:rsidR="00A30EB3">
              <w:rPr>
                <w:rFonts w:ascii="Times New Roman" w:hAnsi="Times New Roman" w:cs="Times New Roman"/>
                <w:color w:val="000000" w:themeColor="text1"/>
                <w:sz w:val="22"/>
              </w:rPr>
              <w:t xml:space="preserve"> </w:t>
            </w:r>
            <w:r w:rsidR="00A30EB3" w:rsidRPr="00A30EB3">
              <w:rPr>
                <w:rFonts w:ascii="Times New Roman" w:hAnsi="Times New Roman" w:cs="Times New Roman"/>
                <w:bCs/>
                <w:sz w:val="22"/>
                <w:szCs w:val="27"/>
                <w:shd w:val="clear" w:color="auto" w:fill="FFFFFF"/>
              </w:rPr>
              <w:t>C</w:t>
            </w:r>
            <w:r w:rsidR="00A30EB3">
              <w:rPr>
                <w:rFonts w:ascii="Times New Roman" w:hAnsi="Times New Roman" w:cs="Times New Roman"/>
                <w:bCs/>
                <w:sz w:val="22"/>
                <w:szCs w:val="27"/>
                <w:shd w:val="clear" w:color="auto" w:fill="FFFFFF"/>
              </w:rPr>
              <w:t xml:space="preserve">ommission Regulation </w:t>
            </w:r>
            <w:r w:rsidR="00A30EB3" w:rsidRPr="00A30EB3">
              <w:rPr>
                <w:rFonts w:ascii="Times New Roman" w:hAnsi="Times New Roman" w:cs="Times New Roman"/>
                <w:bCs/>
                <w:sz w:val="22"/>
                <w:szCs w:val="27"/>
                <w:shd w:val="clear" w:color="auto" w:fill="FFFFFF"/>
              </w:rPr>
              <w:t>(EU) 2017/459</w:t>
            </w:r>
            <w:r w:rsidR="00F23B4A" w:rsidRPr="00A30EB3">
              <w:rPr>
                <w:rFonts w:ascii="Times New Roman" w:hAnsi="Times New Roman" w:cs="Times New Roman"/>
                <w:sz w:val="24"/>
              </w:rPr>
              <w:t xml:space="preserve"> </w:t>
            </w:r>
            <w:r w:rsidR="00A30EB3">
              <w:rPr>
                <w:rFonts w:ascii="Times New Roman" w:hAnsi="Times New Roman" w:cs="Times New Roman"/>
                <w:sz w:val="24"/>
              </w:rPr>
              <w:t>(</w:t>
            </w:r>
            <w:r w:rsidR="00F23B4A">
              <w:rPr>
                <w:rFonts w:ascii="Times New Roman" w:hAnsi="Times New Roman" w:cs="Times New Roman"/>
                <w:color w:val="000000" w:themeColor="text1"/>
                <w:sz w:val="22"/>
              </w:rPr>
              <w:t>CAM N</w:t>
            </w:r>
            <w:r w:rsidR="00A30EB3">
              <w:rPr>
                <w:rFonts w:ascii="Times New Roman" w:hAnsi="Times New Roman" w:cs="Times New Roman"/>
                <w:color w:val="000000" w:themeColor="text1"/>
                <w:sz w:val="22"/>
              </w:rPr>
              <w:t>C)</w:t>
            </w:r>
            <w:r w:rsidR="00CA2EDF">
              <w:rPr>
                <w:rFonts w:ascii="Times New Roman" w:hAnsi="Times New Roman" w:cs="Times New Roman"/>
                <w:color w:val="000000" w:themeColor="text1"/>
                <w:sz w:val="22"/>
              </w:rPr>
              <w:t xml:space="preserve"> in addition to capacity auctioning</w:t>
            </w:r>
            <w:r w:rsidRPr="00515001">
              <w:rPr>
                <w:rFonts w:ascii="Times New Roman" w:hAnsi="Times New Roman" w:cs="Times New Roman"/>
                <w:color w:val="000000" w:themeColor="text1"/>
                <w:sz w:val="22"/>
              </w:rPr>
              <w:t xml:space="preserve">. The implicit allocation would be connected to nominations </w:t>
            </w:r>
            <w:r w:rsidR="00697AB8">
              <w:rPr>
                <w:rFonts w:ascii="Times New Roman" w:hAnsi="Times New Roman" w:cs="Times New Roman"/>
                <w:color w:val="000000" w:themeColor="text1"/>
                <w:sz w:val="22"/>
              </w:rPr>
              <w:t>which are</w:t>
            </w:r>
            <w:r w:rsidRPr="00515001">
              <w:rPr>
                <w:rFonts w:ascii="Times New Roman" w:hAnsi="Times New Roman" w:cs="Times New Roman"/>
                <w:color w:val="000000" w:themeColor="text1"/>
                <w:sz w:val="22"/>
              </w:rPr>
              <w:t xml:space="preserve"> based on</w:t>
            </w:r>
            <w:r w:rsidR="002A6824" w:rsidRPr="00A30EB3">
              <w:rPr>
                <w:rFonts w:ascii="Times New Roman" w:hAnsi="Times New Roman" w:cs="Times New Roman"/>
                <w:bCs/>
                <w:sz w:val="22"/>
                <w:szCs w:val="27"/>
                <w:shd w:val="clear" w:color="auto" w:fill="FFFFFF"/>
              </w:rPr>
              <w:t xml:space="preserve"> C</w:t>
            </w:r>
            <w:r w:rsidR="002A6824">
              <w:rPr>
                <w:rFonts w:ascii="Times New Roman" w:hAnsi="Times New Roman" w:cs="Times New Roman"/>
                <w:bCs/>
                <w:sz w:val="22"/>
                <w:szCs w:val="27"/>
                <w:shd w:val="clear" w:color="auto" w:fill="FFFFFF"/>
              </w:rPr>
              <w:t xml:space="preserve">ommission Regulation </w:t>
            </w:r>
            <w:r w:rsidR="002A6824" w:rsidRPr="00A30EB3">
              <w:rPr>
                <w:rFonts w:ascii="Times New Roman" w:hAnsi="Times New Roman" w:cs="Times New Roman"/>
                <w:bCs/>
                <w:sz w:val="22"/>
                <w:szCs w:val="27"/>
                <w:shd w:val="clear" w:color="auto" w:fill="FFFFFF"/>
              </w:rPr>
              <w:t>(EU)</w:t>
            </w:r>
            <w:r w:rsidRPr="002A6824">
              <w:rPr>
                <w:rFonts w:ascii="Times New Roman" w:hAnsi="Times New Roman" w:cs="Times New Roman"/>
                <w:color w:val="000000" w:themeColor="text1"/>
              </w:rPr>
              <w:t xml:space="preserve"> </w:t>
            </w:r>
            <w:r w:rsidR="002A6824" w:rsidRPr="002A6824">
              <w:rPr>
                <w:rFonts w:ascii="Times New Roman" w:hAnsi="Times New Roman" w:cs="Times New Roman"/>
                <w:bCs/>
                <w:sz w:val="22"/>
                <w:szCs w:val="27"/>
                <w:shd w:val="clear" w:color="auto" w:fill="FFFFFF"/>
              </w:rPr>
              <w:t>No 312/2014</w:t>
            </w:r>
            <w:r w:rsidR="002A6824" w:rsidRPr="00515001">
              <w:rPr>
                <w:rFonts w:ascii="Times New Roman" w:hAnsi="Times New Roman" w:cs="Times New Roman"/>
                <w:color w:val="000000" w:themeColor="text1"/>
                <w:sz w:val="22"/>
              </w:rPr>
              <w:t xml:space="preserve"> </w:t>
            </w:r>
            <w:r w:rsidR="002A6824">
              <w:rPr>
                <w:rFonts w:ascii="Times New Roman" w:hAnsi="Times New Roman" w:cs="Times New Roman"/>
                <w:color w:val="000000" w:themeColor="text1"/>
                <w:sz w:val="22"/>
              </w:rPr>
              <w:t>(</w:t>
            </w:r>
            <w:r w:rsidRPr="00515001">
              <w:rPr>
                <w:rFonts w:ascii="Times New Roman" w:hAnsi="Times New Roman" w:cs="Times New Roman"/>
                <w:color w:val="000000" w:themeColor="text1"/>
                <w:sz w:val="22"/>
              </w:rPr>
              <w:t>BAL NC</w:t>
            </w:r>
            <w:r w:rsidR="002A6824">
              <w:rPr>
                <w:rFonts w:ascii="Times New Roman" w:hAnsi="Times New Roman" w:cs="Times New Roman"/>
                <w:color w:val="000000" w:themeColor="text1"/>
                <w:sz w:val="22"/>
              </w:rPr>
              <w:t>)</w:t>
            </w:r>
            <w:r w:rsidR="00697AB8">
              <w:rPr>
                <w:rFonts w:ascii="Times New Roman" w:hAnsi="Times New Roman" w:cs="Times New Roman"/>
                <w:color w:val="000000" w:themeColor="text1"/>
                <w:sz w:val="22"/>
              </w:rPr>
              <w:t xml:space="preserve">. </w:t>
            </w:r>
            <w:r w:rsidR="00BD017D">
              <w:rPr>
                <w:rFonts w:ascii="Times New Roman" w:hAnsi="Times New Roman" w:cs="Times New Roman"/>
                <w:color w:val="000000" w:themeColor="text1"/>
                <w:sz w:val="22"/>
              </w:rPr>
              <w:t>The nominations</w:t>
            </w:r>
            <w:r w:rsidRPr="00515001">
              <w:rPr>
                <w:rFonts w:ascii="Times New Roman" w:hAnsi="Times New Roman" w:cs="Times New Roman"/>
                <w:color w:val="000000" w:themeColor="text1"/>
                <w:sz w:val="22"/>
              </w:rPr>
              <w:t xml:space="preserve"> are provided in da</w:t>
            </w:r>
            <w:r w:rsidR="00BD017D">
              <w:rPr>
                <w:rFonts w:ascii="Times New Roman" w:hAnsi="Times New Roman" w:cs="Times New Roman"/>
                <w:color w:val="000000" w:themeColor="text1"/>
                <w:sz w:val="22"/>
              </w:rPr>
              <w:t>ily and within-day</w:t>
            </w:r>
            <w:r w:rsidRPr="00515001">
              <w:rPr>
                <w:rFonts w:ascii="Times New Roman" w:hAnsi="Times New Roman" w:cs="Times New Roman"/>
                <w:color w:val="000000" w:themeColor="text1"/>
                <w:sz w:val="22"/>
              </w:rPr>
              <w:t xml:space="preserve"> timeframe. According to TSOs interpretation of relevant network codes FCFS</w:t>
            </w:r>
            <w:r w:rsidR="00BD017D">
              <w:rPr>
                <w:rFonts w:ascii="Times New Roman" w:hAnsi="Times New Roman" w:cs="Times New Roman"/>
                <w:color w:val="000000" w:themeColor="text1"/>
                <w:sz w:val="22"/>
              </w:rPr>
              <w:t xml:space="preserve"> allocation principle for</w:t>
            </w:r>
            <w:r w:rsidRPr="00515001">
              <w:rPr>
                <w:rFonts w:ascii="Times New Roman" w:hAnsi="Times New Roman" w:cs="Times New Roman"/>
                <w:color w:val="000000" w:themeColor="text1"/>
                <w:sz w:val="22"/>
              </w:rPr>
              <w:t xml:space="preserve"> longer</w:t>
            </w:r>
            <w:r w:rsidR="00BD017D">
              <w:rPr>
                <w:rFonts w:ascii="Times New Roman" w:hAnsi="Times New Roman" w:cs="Times New Roman"/>
                <w:color w:val="000000" w:themeColor="text1"/>
                <w:sz w:val="22"/>
              </w:rPr>
              <w:t>-</w:t>
            </w:r>
            <w:r w:rsidRPr="00515001">
              <w:rPr>
                <w:rFonts w:ascii="Times New Roman" w:hAnsi="Times New Roman" w:cs="Times New Roman"/>
                <w:color w:val="000000" w:themeColor="text1"/>
                <w:sz w:val="22"/>
              </w:rPr>
              <w:t>term capacity products are not permitted. Moreover</w:t>
            </w:r>
            <w:r w:rsidR="004769C8">
              <w:rPr>
                <w:rFonts w:ascii="Times New Roman" w:hAnsi="Times New Roman" w:cs="Times New Roman"/>
                <w:color w:val="000000" w:themeColor="text1"/>
                <w:sz w:val="22"/>
              </w:rPr>
              <w:t>,</w:t>
            </w:r>
            <w:r w:rsidRPr="00515001">
              <w:rPr>
                <w:rFonts w:ascii="Times New Roman" w:hAnsi="Times New Roman" w:cs="Times New Roman"/>
                <w:color w:val="000000" w:themeColor="text1"/>
                <w:sz w:val="22"/>
              </w:rPr>
              <w:t xml:space="preserve"> implementing the FCFS or any other long</w:t>
            </w:r>
            <w:r w:rsidR="00F11162">
              <w:rPr>
                <w:rFonts w:ascii="Times New Roman" w:hAnsi="Times New Roman" w:cs="Times New Roman"/>
                <w:color w:val="000000" w:themeColor="text1"/>
                <w:sz w:val="22"/>
              </w:rPr>
              <w:t>er-</w:t>
            </w:r>
            <w:r w:rsidRPr="00515001">
              <w:rPr>
                <w:rFonts w:ascii="Times New Roman" w:hAnsi="Times New Roman" w:cs="Times New Roman"/>
                <w:color w:val="000000" w:themeColor="text1"/>
                <w:sz w:val="22"/>
              </w:rPr>
              <w:t xml:space="preserve">term product for the transitional phase would not be cost-efficient. In case of strong market need and NRAs request to apply FCFS products </w:t>
            </w:r>
            <w:proofErr w:type="gramStart"/>
            <w:r w:rsidRPr="00515001">
              <w:rPr>
                <w:rFonts w:ascii="Times New Roman" w:hAnsi="Times New Roman" w:cs="Times New Roman"/>
                <w:color w:val="000000" w:themeColor="text1"/>
                <w:sz w:val="22"/>
              </w:rPr>
              <w:t>in light of</w:t>
            </w:r>
            <w:proofErr w:type="gramEnd"/>
            <w:r w:rsidRPr="00515001">
              <w:rPr>
                <w:rFonts w:ascii="Times New Roman" w:hAnsi="Times New Roman" w:cs="Times New Roman"/>
                <w:color w:val="000000" w:themeColor="text1"/>
                <w:sz w:val="22"/>
              </w:rPr>
              <w:t xml:space="preserve"> CAM NC, TSOs are open for further discussions regarding the costs and benefits of applying FCFS products.</w:t>
            </w:r>
          </w:p>
        </w:tc>
        <w:tc>
          <w:tcPr>
            <w:tcW w:w="1667" w:type="pct"/>
          </w:tcPr>
          <w:p w14:paraId="135C1C7C" w14:textId="77777777" w:rsidR="00515001" w:rsidRPr="00515001" w:rsidRDefault="00515001" w:rsidP="00565141">
            <w:pPr>
              <w:jc w:val="both"/>
              <w:rPr>
                <w:rFonts w:ascii="Times New Roman" w:hAnsi="Times New Roman" w:cs="Times New Roman"/>
                <w:color w:val="000000" w:themeColor="text1"/>
                <w:sz w:val="22"/>
              </w:rPr>
            </w:pPr>
          </w:p>
        </w:tc>
      </w:tr>
      <w:tr w:rsidR="00515001" w:rsidRPr="00515001" w14:paraId="2DCD49F8" w14:textId="77777777" w:rsidTr="00565141">
        <w:tc>
          <w:tcPr>
            <w:tcW w:w="638" w:type="pct"/>
          </w:tcPr>
          <w:p w14:paraId="325168AC" w14:textId="11FF5784" w:rsidR="00515001" w:rsidRPr="00515001" w:rsidRDefault="00B0342D" w:rsidP="00565141">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6.2.</w:t>
            </w:r>
          </w:p>
        </w:tc>
        <w:tc>
          <w:tcPr>
            <w:tcW w:w="2695" w:type="pct"/>
          </w:tcPr>
          <w:p w14:paraId="7EFD0A69" w14:textId="77777777" w:rsidR="00864A28" w:rsidRDefault="009D078F" w:rsidP="00565141">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T</w:t>
            </w:r>
            <w:r w:rsidR="00515001" w:rsidRPr="00515001">
              <w:rPr>
                <w:rFonts w:ascii="Times New Roman" w:hAnsi="Times New Roman" w:cs="Times New Roman"/>
                <w:color w:val="000000" w:themeColor="text1"/>
                <w:sz w:val="22"/>
              </w:rPr>
              <w:t>he tolerance limit and fee amount for underutilization is</w:t>
            </w:r>
            <w:r>
              <w:rPr>
                <w:rFonts w:ascii="Times New Roman" w:hAnsi="Times New Roman" w:cs="Times New Roman"/>
                <w:color w:val="000000" w:themeColor="text1"/>
                <w:sz w:val="22"/>
              </w:rPr>
              <w:t xml:space="preserve"> </w:t>
            </w:r>
            <w:r w:rsidR="00446078">
              <w:rPr>
                <w:rFonts w:ascii="Times New Roman" w:hAnsi="Times New Roman" w:cs="Times New Roman"/>
                <w:color w:val="000000" w:themeColor="text1"/>
                <w:sz w:val="22"/>
              </w:rPr>
              <w:t>proposed</w:t>
            </w:r>
            <w:r w:rsidR="00376F7A">
              <w:rPr>
                <w:rFonts w:ascii="Times New Roman" w:hAnsi="Times New Roman" w:cs="Times New Roman"/>
                <w:color w:val="000000" w:themeColor="text1"/>
                <w:sz w:val="22"/>
              </w:rPr>
              <w:t xml:space="preserve"> to be as follows: </w:t>
            </w:r>
            <w:r w:rsidR="00F57950">
              <w:rPr>
                <w:rFonts w:ascii="Times New Roman" w:hAnsi="Times New Roman" w:cs="Times New Roman"/>
                <w:color w:val="000000" w:themeColor="text1"/>
                <w:sz w:val="22"/>
              </w:rPr>
              <w:t>The fixed t</w:t>
            </w:r>
            <w:r w:rsidR="00376F7A">
              <w:rPr>
                <w:rFonts w:ascii="Times New Roman" w:hAnsi="Times New Roman" w:cs="Times New Roman"/>
                <w:color w:val="000000" w:themeColor="text1"/>
                <w:sz w:val="22"/>
              </w:rPr>
              <w:t xml:space="preserve">olerance limit 50 000 kWh/h and </w:t>
            </w:r>
            <w:r w:rsidR="00DF4DA1">
              <w:rPr>
                <w:rFonts w:ascii="Times New Roman" w:hAnsi="Times New Roman" w:cs="Times New Roman"/>
                <w:color w:val="000000" w:themeColor="text1"/>
                <w:sz w:val="22"/>
              </w:rPr>
              <w:t xml:space="preserve">the </w:t>
            </w:r>
            <w:r w:rsidR="00DA6633">
              <w:rPr>
                <w:rFonts w:ascii="Times New Roman" w:hAnsi="Times New Roman" w:cs="Times New Roman"/>
                <w:color w:val="000000" w:themeColor="text1"/>
                <w:sz w:val="22"/>
              </w:rPr>
              <w:t xml:space="preserve">underutilization </w:t>
            </w:r>
            <w:r w:rsidR="00DF4DA1">
              <w:rPr>
                <w:rFonts w:ascii="Times New Roman" w:hAnsi="Times New Roman" w:cs="Times New Roman"/>
                <w:color w:val="000000" w:themeColor="text1"/>
                <w:sz w:val="22"/>
              </w:rPr>
              <w:t>fee 0,002 €/kWh.</w:t>
            </w:r>
            <w:r w:rsidR="00F64465">
              <w:rPr>
                <w:rFonts w:ascii="Times New Roman" w:hAnsi="Times New Roman" w:cs="Times New Roman"/>
                <w:color w:val="000000" w:themeColor="text1"/>
                <w:sz w:val="22"/>
              </w:rPr>
              <w:t xml:space="preserve"> The fee shall be charged for the </w:t>
            </w:r>
            <w:r w:rsidR="0016741F">
              <w:rPr>
                <w:rFonts w:ascii="Times New Roman" w:hAnsi="Times New Roman" w:cs="Times New Roman"/>
                <w:color w:val="000000" w:themeColor="text1"/>
                <w:sz w:val="22"/>
              </w:rPr>
              <w:t xml:space="preserve">quantity </w:t>
            </w:r>
            <w:r w:rsidR="008A1A53">
              <w:rPr>
                <w:rFonts w:ascii="Times New Roman" w:hAnsi="Times New Roman" w:cs="Times New Roman"/>
                <w:color w:val="000000" w:themeColor="text1"/>
                <w:sz w:val="22"/>
              </w:rPr>
              <w:t>under the tolerance limit.</w:t>
            </w:r>
            <w:r w:rsidR="00864A28">
              <w:rPr>
                <w:rFonts w:ascii="Times New Roman" w:hAnsi="Times New Roman" w:cs="Times New Roman"/>
                <w:color w:val="000000" w:themeColor="text1"/>
                <w:sz w:val="22"/>
              </w:rPr>
              <w:t xml:space="preserve"> </w:t>
            </w:r>
          </w:p>
          <w:p w14:paraId="782958A9" w14:textId="29E5AC66" w:rsidR="00515001" w:rsidRPr="00515001" w:rsidRDefault="00F57950" w:rsidP="00565141">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Alternatively,</w:t>
            </w:r>
            <w:r w:rsidR="00DA6633">
              <w:rPr>
                <w:rFonts w:ascii="Times New Roman" w:hAnsi="Times New Roman" w:cs="Times New Roman"/>
                <w:color w:val="000000" w:themeColor="text1"/>
                <w:sz w:val="22"/>
              </w:rPr>
              <w:t xml:space="preserve"> t</w:t>
            </w:r>
            <w:r w:rsidR="00DF4DA1">
              <w:rPr>
                <w:rFonts w:ascii="Times New Roman" w:hAnsi="Times New Roman" w:cs="Times New Roman"/>
                <w:color w:val="000000" w:themeColor="text1"/>
                <w:sz w:val="22"/>
              </w:rPr>
              <w:t xml:space="preserve">he TSOs have considered </w:t>
            </w:r>
            <w:r w:rsidR="007D57CE" w:rsidRPr="00F57950">
              <w:rPr>
                <w:rFonts w:ascii="Times New Roman" w:hAnsi="Times New Roman" w:cs="Times New Roman"/>
                <w:color w:val="000000" w:themeColor="text1"/>
                <w:sz w:val="22"/>
              </w:rPr>
              <w:t>apply</w:t>
            </w:r>
            <w:r w:rsidR="00A46F8D">
              <w:rPr>
                <w:rFonts w:ascii="Times New Roman" w:hAnsi="Times New Roman" w:cs="Times New Roman"/>
                <w:color w:val="000000" w:themeColor="text1"/>
                <w:sz w:val="22"/>
              </w:rPr>
              <w:t>ing</w:t>
            </w:r>
            <w:r w:rsidR="00A13E31">
              <w:rPr>
                <w:rFonts w:ascii="Times New Roman" w:hAnsi="Times New Roman" w:cs="Times New Roman"/>
                <w:color w:val="000000" w:themeColor="text1"/>
                <w:sz w:val="22"/>
              </w:rPr>
              <w:t xml:space="preserve"> a</w:t>
            </w:r>
            <w:r w:rsidR="007D57CE" w:rsidRPr="00F57950">
              <w:rPr>
                <w:rFonts w:ascii="Times New Roman" w:hAnsi="Times New Roman" w:cs="Times New Roman"/>
                <w:color w:val="000000" w:themeColor="text1"/>
                <w:sz w:val="22"/>
              </w:rPr>
              <w:t xml:space="preserve"> </w:t>
            </w:r>
            <w:r w:rsidR="00300D00" w:rsidRPr="00F57950">
              <w:rPr>
                <w:rFonts w:ascii="Times New Roman" w:hAnsi="Times New Roman" w:cs="Times New Roman"/>
                <w:color w:val="000000" w:themeColor="text1"/>
                <w:sz w:val="22"/>
              </w:rPr>
              <w:t>proportional tolerance</w:t>
            </w:r>
            <w:r w:rsidR="00864A28">
              <w:rPr>
                <w:rFonts w:ascii="Times New Roman" w:hAnsi="Times New Roman" w:cs="Times New Roman"/>
                <w:color w:val="000000" w:themeColor="text1"/>
                <w:sz w:val="22"/>
              </w:rPr>
              <w:t>.</w:t>
            </w:r>
            <w:r w:rsidR="00E85864">
              <w:rPr>
                <w:rFonts w:ascii="Times New Roman" w:hAnsi="Times New Roman" w:cs="Times New Roman"/>
                <w:color w:val="000000" w:themeColor="text1"/>
                <w:sz w:val="22"/>
              </w:rPr>
              <w:t xml:space="preserve"> </w:t>
            </w:r>
            <w:r w:rsidR="00300D00" w:rsidRPr="00F57950">
              <w:rPr>
                <w:rFonts w:ascii="Times New Roman" w:hAnsi="Times New Roman" w:cs="Times New Roman"/>
                <w:color w:val="000000" w:themeColor="text1"/>
                <w:sz w:val="22"/>
              </w:rPr>
              <w:t>(</w:t>
            </w:r>
            <w:proofErr w:type="spellStart"/>
            <w:r w:rsidR="003571A3">
              <w:rPr>
                <w:rFonts w:ascii="Times New Roman" w:hAnsi="Times New Roman" w:cs="Times New Roman"/>
                <w:color w:val="000000" w:themeColor="text1"/>
                <w:sz w:val="22"/>
              </w:rPr>
              <w:t>Elering</w:t>
            </w:r>
            <w:proofErr w:type="spellEnd"/>
            <w:r w:rsidR="003571A3">
              <w:rPr>
                <w:rFonts w:ascii="Times New Roman" w:hAnsi="Times New Roman" w:cs="Times New Roman"/>
                <w:color w:val="000000" w:themeColor="text1"/>
                <w:sz w:val="22"/>
              </w:rPr>
              <w:t xml:space="preserve"> has </w:t>
            </w:r>
            <w:r w:rsidR="00300D00" w:rsidRPr="00F57950">
              <w:rPr>
                <w:rFonts w:ascii="Times New Roman" w:hAnsi="Times New Roman" w:cs="Times New Roman"/>
                <w:color w:val="000000" w:themeColor="text1"/>
                <w:sz w:val="22"/>
              </w:rPr>
              <w:t>initially</w:t>
            </w:r>
            <w:r w:rsidR="003571A3">
              <w:rPr>
                <w:rFonts w:ascii="Times New Roman" w:hAnsi="Times New Roman" w:cs="Times New Roman"/>
                <w:color w:val="000000" w:themeColor="text1"/>
                <w:sz w:val="22"/>
              </w:rPr>
              <w:t xml:space="preserve"> proposed</w:t>
            </w:r>
            <w:r w:rsidR="00300D00" w:rsidRPr="00F57950">
              <w:rPr>
                <w:rFonts w:ascii="Times New Roman" w:hAnsi="Times New Roman" w:cs="Times New Roman"/>
                <w:color w:val="000000" w:themeColor="text1"/>
                <w:sz w:val="22"/>
              </w:rPr>
              <w:t xml:space="preserve"> </w:t>
            </w:r>
            <w:r w:rsidR="00024579">
              <w:rPr>
                <w:rFonts w:ascii="Times New Roman" w:hAnsi="Times New Roman" w:cs="Times New Roman"/>
                <w:color w:val="000000" w:themeColor="text1"/>
                <w:sz w:val="22"/>
              </w:rPr>
              <w:t xml:space="preserve">a </w:t>
            </w:r>
            <w:r w:rsidR="00515001" w:rsidRPr="00F57950">
              <w:rPr>
                <w:rFonts w:ascii="Times New Roman" w:hAnsi="Times New Roman" w:cs="Times New Roman"/>
                <w:color w:val="000000" w:themeColor="text1"/>
                <w:sz w:val="22"/>
              </w:rPr>
              <w:t>10%</w:t>
            </w:r>
            <w:r w:rsidR="00B1451A">
              <w:rPr>
                <w:rFonts w:ascii="Times New Roman" w:hAnsi="Times New Roman" w:cs="Times New Roman"/>
                <w:color w:val="000000" w:themeColor="text1"/>
                <w:sz w:val="22"/>
              </w:rPr>
              <w:t xml:space="preserve"> tolerance</w:t>
            </w:r>
            <w:r w:rsidR="002469F4">
              <w:rPr>
                <w:rFonts w:ascii="Times New Roman" w:hAnsi="Times New Roman" w:cs="Times New Roman"/>
                <w:color w:val="000000" w:themeColor="text1"/>
                <w:sz w:val="22"/>
              </w:rPr>
              <w:t xml:space="preserve"> </w:t>
            </w:r>
            <w:r w:rsidR="00024579">
              <w:rPr>
                <w:rFonts w:ascii="Times New Roman" w:hAnsi="Times New Roman" w:cs="Times New Roman"/>
                <w:color w:val="000000" w:themeColor="text1"/>
                <w:sz w:val="22"/>
              </w:rPr>
              <w:t>limit</w:t>
            </w:r>
            <w:r w:rsidR="00614F48">
              <w:rPr>
                <w:rFonts w:ascii="Times New Roman" w:hAnsi="Times New Roman" w:cs="Times New Roman"/>
                <w:color w:val="000000" w:themeColor="text1"/>
                <w:sz w:val="22"/>
              </w:rPr>
              <w:t xml:space="preserve"> with the pos</w:t>
            </w:r>
            <w:r w:rsidR="00515001" w:rsidRPr="00F57950">
              <w:rPr>
                <w:rFonts w:ascii="Times New Roman" w:hAnsi="Times New Roman" w:cs="Times New Roman"/>
                <w:color w:val="000000" w:themeColor="text1"/>
                <w:sz w:val="22"/>
              </w:rPr>
              <w:t xml:space="preserve">sibility </w:t>
            </w:r>
            <w:r w:rsidR="00897ADA">
              <w:rPr>
                <w:rFonts w:ascii="Times New Roman" w:hAnsi="Times New Roman" w:cs="Times New Roman"/>
                <w:color w:val="000000" w:themeColor="text1"/>
                <w:sz w:val="22"/>
              </w:rPr>
              <w:t>of</w:t>
            </w:r>
            <w:r w:rsidR="00300D00" w:rsidRPr="00F57950">
              <w:rPr>
                <w:rFonts w:ascii="Times New Roman" w:hAnsi="Times New Roman" w:cs="Times New Roman"/>
                <w:color w:val="000000" w:themeColor="text1"/>
                <w:sz w:val="22"/>
              </w:rPr>
              <w:t xml:space="preserve"> </w:t>
            </w:r>
            <w:r w:rsidR="00515001" w:rsidRPr="00F57950">
              <w:rPr>
                <w:rFonts w:ascii="Times New Roman" w:hAnsi="Times New Roman" w:cs="Times New Roman"/>
                <w:color w:val="000000" w:themeColor="text1"/>
                <w:sz w:val="22"/>
              </w:rPr>
              <w:t>change</w:t>
            </w:r>
            <w:r w:rsidR="00897ADA">
              <w:rPr>
                <w:rFonts w:ascii="Times New Roman" w:hAnsi="Times New Roman" w:cs="Times New Roman"/>
                <w:color w:val="000000" w:themeColor="text1"/>
                <w:sz w:val="22"/>
              </w:rPr>
              <w:t>s</w:t>
            </w:r>
            <w:r w:rsidR="00614F48">
              <w:rPr>
                <w:rFonts w:ascii="Times New Roman" w:hAnsi="Times New Roman" w:cs="Times New Roman"/>
                <w:color w:val="000000" w:themeColor="text1"/>
                <w:sz w:val="22"/>
              </w:rPr>
              <w:t xml:space="preserve"> </w:t>
            </w:r>
            <w:r w:rsidR="00515001" w:rsidRPr="00F57950">
              <w:rPr>
                <w:rFonts w:ascii="Times New Roman" w:hAnsi="Times New Roman" w:cs="Times New Roman"/>
                <w:color w:val="000000" w:themeColor="text1"/>
                <w:sz w:val="22"/>
              </w:rPr>
              <w:t xml:space="preserve">if </w:t>
            </w:r>
            <w:r w:rsidR="00A14DA3" w:rsidRPr="00F57950">
              <w:rPr>
                <w:rFonts w:ascii="Times New Roman" w:hAnsi="Times New Roman" w:cs="Times New Roman"/>
                <w:color w:val="000000" w:themeColor="text1"/>
                <w:sz w:val="22"/>
              </w:rPr>
              <w:lastRenderedPageBreak/>
              <w:t>reasonabl</w:t>
            </w:r>
            <w:r w:rsidR="004C0210">
              <w:rPr>
                <w:rFonts w:ascii="Times New Roman" w:hAnsi="Times New Roman" w:cs="Times New Roman"/>
                <w:color w:val="000000" w:themeColor="text1"/>
                <w:sz w:val="22"/>
              </w:rPr>
              <w:t>y justi</w:t>
            </w:r>
            <w:r w:rsidR="00621191">
              <w:rPr>
                <w:rFonts w:ascii="Times New Roman" w:hAnsi="Times New Roman" w:cs="Times New Roman"/>
                <w:color w:val="000000" w:themeColor="text1"/>
                <w:sz w:val="22"/>
              </w:rPr>
              <w:t>fi</w:t>
            </w:r>
            <w:r w:rsidR="002F4519">
              <w:rPr>
                <w:rFonts w:ascii="Times New Roman" w:hAnsi="Times New Roman" w:cs="Times New Roman"/>
                <w:color w:val="000000" w:themeColor="text1"/>
                <w:sz w:val="22"/>
              </w:rPr>
              <w:t>ed</w:t>
            </w:r>
            <w:r w:rsidR="000E1C01" w:rsidRPr="00515001">
              <w:rPr>
                <w:rFonts w:ascii="Times New Roman" w:hAnsi="Times New Roman" w:cs="Times New Roman"/>
                <w:color w:val="000000" w:themeColor="text1"/>
                <w:sz w:val="22"/>
              </w:rPr>
              <w:t xml:space="preserve"> </w:t>
            </w:r>
            <w:r w:rsidR="000E1C01">
              <w:rPr>
                <w:rFonts w:ascii="Times New Roman" w:hAnsi="Times New Roman" w:cs="Times New Roman"/>
                <w:color w:val="000000" w:themeColor="text1"/>
                <w:sz w:val="22"/>
              </w:rPr>
              <w:t xml:space="preserve">and considering the results of </w:t>
            </w:r>
            <w:r w:rsidR="000E1C01" w:rsidRPr="00515001">
              <w:rPr>
                <w:rFonts w:ascii="Times New Roman" w:hAnsi="Times New Roman" w:cs="Times New Roman"/>
                <w:color w:val="000000" w:themeColor="text1"/>
                <w:sz w:val="22"/>
              </w:rPr>
              <w:t>a public consultation</w:t>
            </w:r>
            <w:r w:rsidR="000E1C01">
              <w:rPr>
                <w:rFonts w:ascii="Times New Roman" w:hAnsi="Times New Roman" w:cs="Times New Roman"/>
                <w:color w:val="000000" w:themeColor="text1"/>
                <w:sz w:val="22"/>
              </w:rPr>
              <w:t>.</w:t>
            </w:r>
            <w:r w:rsidR="00505E7F">
              <w:rPr>
                <w:rFonts w:ascii="Times New Roman" w:hAnsi="Times New Roman" w:cs="Times New Roman"/>
                <w:color w:val="000000" w:themeColor="text1"/>
                <w:sz w:val="22"/>
              </w:rPr>
              <w:t>)</w:t>
            </w:r>
          </w:p>
        </w:tc>
        <w:tc>
          <w:tcPr>
            <w:tcW w:w="1667" w:type="pct"/>
          </w:tcPr>
          <w:p w14:paraId="653B44DA" w14:textId="77777777" w:rsidR="00515001" w:rsidRPr="00515001" w:rsidRDefault="00515001" w:rsidP="00565141">
            <w:pPr>
              <w:jc w:val="both"/>
              <w:rPr>
                <w:rFonts w:ascii="Times New Roman" w:hAnsi="Times New Roman" w:cs="Times New Roman"/>
                <w:color w:val="000000" w:themeColor="text1"/>
                <w:sz w:val="22"/>
              </w:rPr>
            </w:pPr>
          </w:p>
        </w:tc>
      </w:tr>
      <w:tr w:rsidR="00515001" w:rsidRPr="00515001" w14:paraId="6E709F70" w14:textId="77777777" w:rsidTr="00565141">
        <w:tc>
          <w:tcPr>
            <w:tcW w:w="638" w:type="pct"/>
          </w:tcPr>
          <w:p w14:paraId="379B82B7"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[section nr]</w:t>
            </w:r>
          </w:p>
        </w:tc>
        <w:tc>
          <w:tcPr>
            <w:tcW w:w="2695" w:type="pct"/>
          </w:tcPr>
          <w:p w14:paraId="63F2753A"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[Question/identified issue]</w:t>
            </w:r>
          </w:p>
        </w:tc>
        <w:tc>
          <w:tcPr>
            <w:tcW w:w="1667" w:type="pct"/>
          </w:tcPr>
          <w:p w14:paraId="67882E99" w14:textId="77777777" w:rsidR="00515001" w:rsidRPr="00515001" w:rsidRDefault="00515001" w:rsidP="00565141">
            <w:pPr>
              <w:jc w:val="both"/>
              <w:rPr>
                <w:rFonts w:ascii="Times New Roman" w:hAnsi="Times New Roman" w:cs="Times New Roman"/>
                <w:color w:val="000000" w:themeColor="text1"/>
                <w:sz w:val="22"/>
              </w:rPr>
            </w:pPr>
            <w:r w:rsidRPr="00515001">
              <w:rPr>
                <w:rFonts w:ascii="Times New Roman" w:hAnsi="Times New Roman" w:cs="Times New Roman"/>
                <w:color w:val="000000" w:themeColor="text1"/>
                <w:sz w:val="22"/>
              </w:rPr>
              <w:t>[Additional comment of proposal]</w:t>
            </w:r>
          </w:p>
        </w:tc>
      </w:tr>
    </w:tbl>
    <w:p w14:paraId="7E847131" w14:textId="2E4F4465" w:rsidR="00BC54EB" w:rsidRDefault="00BC54EB" w:rsidP="00EA517E">
      <w:pPr>
        <w:rPr>
          <w:rFonts w:ascii="Calibri" w:eastAsia="Times New Roman" w:hAnsi="Calibri" w:cs="Calibri"/>
          <w:sz w:val="36"/>
        </w:rPr>
      </w:pPr>
    </w:p>
    <w:p w14:paraId="2BF3EE7B" w14:textId="77777777" w:rsidR="00505E7F" w:rsidRDefault="00505E7F" w:rsidP="00BC54EB">
      <w:pPr>
        <w:tabs>
          <w:tab w:val="clear" w:pos="1304"/>
          <w:tab w:val="clear" w:pos="2608"/>
          <w:tab w:val="clear" w:pos="3912"/>
          <w:tab w:val="clear" w:pos="5216"/>
          <w:tab w:val="clear" w:pos="6521"/>
          <w:tab w:val="clear" w:pos="7825"/>
        </w:tabs>
        <w:rPr>
          <w:rFonts w:ascii="Times New Roman" w:hAnsi="Times New Roman" w:cs="Times New Roman"/>
          <w:b/>
          <w:sz w:val="24"/>
          <w:szCs w:val="24"/>
        </w:rPr>
      </w:pPr>
    </w:p>
    <w:p w14:paraId="5F86502D" w14:textId="77777777" w:rsidR="002F4C53" w:rsidRDefault="002F4C53" w:rsidP="00BC54EB">
      <w:pPr>
        <w:tabs>
          <w:tab w:val="clear" w:pos="1304"/>
          <w:tab w:val="clear" w:pos="2608"/>
          <w:tab w:val="clear" w:pos="3912"/>
          <w:tab w:val="clear" w:pos="5216"/>
          <w:tab w:val="clear" w:pos="6521"/>
          <w:tab w:val="clear" w:pos="7825"/>
        </w:tabs>
        <w:rPr>
          <w:rFonts w:ascii="Times New Roman" w:hAnsi="Times New Roman" w:cs="Times New Roman"/>
          <w:b/>
          <w:sz w:val="24"/>
          <w:szCs w:val="24"/>
        </w:rPr>
      </w:pPr>
    </w:p>
    <w:p w14:paraId="74A8AAEC" w14:textId="048AE52B" w:rsidR="00BC54EB" w:rsidRDefault="00BC54EB" w:rsidP="00BC54EB">
      <w:pPr>
        <w:tabs>
          <w:tab w:val="clear" w:pos="1304"/>
          <w:tab w:val="clear" w:pos="2608"/>
          <w:tab w:val="clear" w:pos="3912"/>
          <w:tab w:val="clear" w:pos="5216"/>
          <w:tab w:val="clear" w:pos="6521"/>
          <w:tab w:val="clear" w:pos="7825"/>
        </w:tabs>
        <w:rPr>
          <w:rFonts w:cs="Times New Roman"/>
          <w:szCs w:val="24"/>
          <w:lang w:val="en-US"/>
        </w:rPr>
      </w:pPr>
      <w:r w:rsidRPr="00B17144">
        <w:rPr>
          <w:rFonts w:ascii="Times New Roman" w:hAnsi="Times New Roman" w:cs="Times New Roman"/>
          <w:b/>
          <w:sz w:val="24"/>
          <w:szCs w:val="24"/>
        </w:rPr>
        <w:t>*</w:t>
      </w:r>
      <w:r>
        <w:rPr>
          <w:rFonts w:ascii="Times New Roman" w:hAnsi="Times New Roman" w:cs="Times New Roman"/>
          <w:b/>
          <w:sz w:val="24"/>
          <w:szCs w:val="24"/>
        </w:rPr>
        <w:t xml:space="preserve">Quote translated from Rules for </w:t>
      </w:r>
      <w:r w:rsidR="00D4755D">
        <w:rPr>
          <w:rFonts w:ascii="Times New Roman" w:hAnsi="Times New Roman" w:cs="Times New Roman"/>
          <w:b/>
          <w:sz w:val="24"/>
          <w:szCs w:val="24"/>
        </w:rPr>
        <w:t>G</w:t>
      </w:r>
      <w:r>
        <w:rPr>
          <w:rFonts w:ascii="Times New Roman" w:hAnsi="Times New Roman" w:cs="Times New Roman"/>
          <w:b/>
          <w:sz w:val="24"/>
          <w:szCs w:val="24"/>
        </w:rPr>
        <w:t xml:space="preserve">as </w:t>
      </w:r>
      <w:r w:rsidR="00D4755D">
        <w:rPr>
          <w:rFonts w:ascii="Times New Roman" w:hAnsi="Times New Roman" w:cs="Times New Roman"/>
          <w:b/>
          <w:sz w:val="24"/>
          <w:szCs w:val="24"/>
        </w:rPr>
        <w:t>T</w:t>
      </w:r>
      <w:r>
        <w:rPr>
          <w:rFonts w:ascii="Times New Roman" w:hAnsi="Times New Roman" w:cs="Times New Roman"/>
          <w:b/>
          <w:sz w:val="24"/>
          <w:szCs w:val="24"/>
        </w:rPr>
        <w:t>ransmission in Finland</w:t>
      </w:r>
      <w:r w:rsidRPr="00B17144">
        <w:rPr>
          <w:rFonts w:cs="Times New Roman"/>
          <w:szCs w:val="24"/>
          <w:lang w:val="en-US"/>
        </w:rPr>
        <w:t xml:space="preserve"> </w:t>
      </w:r>
    </w:p>
    <w:p w14:paraId="05B20F15" w14:textId="77777777" w:rsidR="00BC54EB" w:rsidRDefault="00BC54EB" w:rsidP="00BC54EB">
      <w:pPr>
        <w:tabs>
          <w:tab w:val="clear" w:pos="1304"/>
          <w:tab w:val="clear" w:pos="2608"/>
          <w:tab w:val="clear" w:pos="3912"/>
          <w:tab w:val="clear" w:pos="5216"/>
          <w:tab w:val="clear" w:pos="6521"/>
          <w:tab w:val="clear" w:pos="7825"/>
        </w:tabs>
        <w:rPr>
          <w:rFonts w:cs="Times New Roman"/>
          <w:szCs w:val="24"/>
          <w:lang w:val="en-US"/>
        </w:rPr>
      </w:pPr>
      <w:r>
        <w:rPr>
          <w:rFonts w:cs="Times New Roman"/>
          <w:szCs w:val="24"/>
          <w:lang w:val="en-US"/>
        </w:rPr>
        <w:t>“</w:t>
      </w:r>
      <w:r w:rsidRPr="00B17144">
        <w:rPr>
          <w:rFonts w:cs="Times New Roman"/>
          <w:szCs w:val="24"/>
          <w:lang w:val="en-US"/>
        </w:rPr>
        <w:t>Shippers shall submit Nominations to the T</w:t>
      </w:r>
      <w:r>
        <w:rPr>
          <w:rFonts w:cs="Times New Roman"/>
          <w:szCs w:val="24"/>
          <w:lang w:val="en-US"/>
        </w:rPr>
        <w:t>SO</w:t>
      </w:r>
      <w:r w:rsidRPr="00B17144">
        <w:rPr>
          <w:rFonts w:cs="Times New Roman"/>
          <w:szCs w:val="24"/>
          <w:lang w:val="en-US"/>
        </w:rPr>
        <w:t xml:space="preserve"> no earlier than on Gas Day D-400 and no later </w:t>
      </w:r>
      <w:r>
        <w:rPr>
          <w:rFonts w:cs="Times New Roman"/>
          <w:szCs w:val="24"/>
          <w:lang w:val="en-US"/>
        </w:rPr>
        <w:t>than</w:t>
      </w:r>
      <w:r w:rsidRPr="00B17144">
        <w:rPr>
          <w:rFonts w:cs="Times New Roman"/>
          <w:szCs w:val="24"/>
          <w:lang w:val="en-US"/>
        </w:rPr>
        <w:t xml:space="preserve"> Gas Day D-1 </w:t>
      </w:r>
      <w:r>
        <w:rPr>
          <w:rFonts w:cs="Times New Roman"/>
          <w:szCs w:val="24"/>
          <w:lang w:val="en-US"/>
        </w:rPr>
        <w:t>at</w:t>
      </w:r>
      <w:r w:rsidRPr="00B17144">
        <w:rPr>
          <w:rFonts w:cs="Times New Roman"/>
          <w:szCs w:val="24"/>
          <w:lang w:val="en-US"/>
        </w:rPr>
        <w:t xml:space="preserve"> 13.00 UTC (daylight saving time) or by 12.00 UTC (summer time). A Nomination submitted may be corrected until the end of the above-mentioned time limit. Even if a Shipper does not submit Nominations by the above-mentioned time limit, the Shipper shall have the opportunity to submit </w:t>
      </w:r>
      <w:proofErr w:type="spellStart"/>
      <w:r w:rsidRPr="00B17144">
        <w:rPr>
          <w:rFonts w:cs="Times New Roman"/>
          <w:szCs w:val="24"/>
          <w:lang w:val="en-US"/>
        </w:rPr>
        <w:t>Renominations</w:t>
      </w:r>
      <w:proofErr w:type="spellEnd"/>
      <w:r>
        <w:rPr>
          <w:rFonts w:cs="Times New Roman"/>
          <w:szCs w:val="24"/>
          <w:lang w:val="en-US"/>
        </w:rPr>
        <w:t>.</w:t>
      </w:r>
    </w:p>
    <w:p w14:paraId="1AF9491C" w14:textId="77777777" w:rsidR="00BC54EB" w:rsidRDefault="00BC54EB" w:rsidP="00BC54EB">
      <w:pPr>
        <w:tabs>
          <w:tab w:val="clear" w:pos="1304"/>
          <w:tab w:val="clear" w:pos="2608"/>
          <w:tab w:val="clear" w:pos="3912"/>
          <w:tab w:val="clear" w:pos="5216"/>
          <w:tab w:val="clear" w:pos="6521"/>
          <w:tab w:val="clear" w:pos="7825"/>
        </w:tabs>
        <w:rPr>
          <w:rFonts w:cs="Times New Roman"/>
          <w:szCs w:val="24"/>
          <w:lang w:val="en-US"/>
        </w:rPr>
      </w:pPr>
    </w:p>
    <w:p w14:paraId="68767EA7" w14:textId="77777777" w:rsidR="00BC54EB" w:rsidRDefault="00BC54EB" w:rsidP="00BC54EB">
      <w:pPr>
        <w:tabs>
          <w:tab w:val="clear" w:pos="1304"/>
          <w:tab w:val="clear" w:pos="2608"/>
          <w:tab w:val="clear" w:pos="3912"/>
          <w:tab w:val="clear" w:pos="5216"/>
          <w:tab w:val="clear" w:pos="6521"/>
          <w:tab w:val="clear" w:pos="7825"/>
        </w:tabs>
        <w:rPr>
          <w:rFonts w:cs="Times New Roman"/>
          <w:szCs w:val="24"/>
          <w:lang w:val="en-US"/>
        </w:rPr>
      </w:pPr>
      <w:r w:rsidRPr="00E45DFE">
        <w:rPr>
          <w:rFonts w:cs="Times New Roman"/>
          <w:szCs w:val="24"/>
          <w:lang w:val="en-US"/>
        </w:rPr>
        <w:t xml:space="preserve">The Shipper’s Nominations that have been made on Gas Day D-1 </w:t>
      </w:r>
      <w:r>
        <w:rPr>
          <w:rFonts w:cs="Times New Roman"/>
          <w:szCs w:val="24"/>
          <w:lang w:val="en-US"/>
        </w:rPr>
        <w:t>between</w:t>
      </w:r>
      <w:r w:rsidRPr="00E45DFE">
        <w:rPr>
          <w:rFonts w:cs="Times New Roman"/>
          <w:szCs w:val="24"/>
          <w:lang w:val="en-US"/>
        </w:rPr>
        <w:t xml:space="preserve"> 13:00 UTC (daylight saving time) and by 12:00 UTC (summer time)</w:t>
      </w:r>
      <w:r>
        <w:rPr>
          <w:rFonts w:cs="Times New Roman"/>
          <w:szCs w:val="24"/>
          <w:lang w:val="en-US"/>
        </w:rPr>
        <w:t xml:space="preserve"> </w:t>
      </w:r>
      <w:r w:rsidRPr="00E45DFE">
        <w:rPr>
          <w:rFonts w:cs="Times New Roman"/>
          <w:szCs w:val="24"/>
          <w:lang w:val="en-US"/>
        </w:rPr>
        <w:t xml:space="preserve">until 3:00 UTC (daylight saving time) and until 2:00 UTC (summer time) on Gas Day D-1 by performing </w:t>
      </w:r>
      <w:proofErr w:type="spellStart"/>
      <w:r w:rsidRPr="00E45DFE">
        <w:rPr>
          <w:rFonts w:cs="Times New Roman"/>
          <w:szCs w:val="24"/>
          <w:lang w:val="en-US"/>
        </w:rPr>
        <w:t>Renomination</w:t>
      </w:r>
      <w:proofErr w:type="spellEnd"/>
      <w:r w:rsidRPr="00E45DFE">
        <w:rPr>
          <w:rFonts w:cs="Times New Roman"/>
          <w:szCs w:val="24"/>
          <w:lang w:val="en-US"/>
        </w:rPr>
        <w:t xml:space="preserve">. Any </w:t>
      </w:r>
      <w:proofErr w:type="spellStart"/>
      <w:r w:rsidRPr="00E45DFE">
        <w:rPr>
          <w:rFonts w:cs="Times New Roman"/>
          <w:szCs w:val="24"/>
          <w:lang w:val="en-US"/>
        </w:rPr>
        <w:t>Renominations</w:t>
      </w:r>
      <w:proofErr w:type="spellEnd"/>
      <w:r w:rsidRPr="00E45DFE">
        <w:rPr>
          <w:rFonts w:cs="Times New Roman"/>
          <w:szCs w:val="24"/>
          <w:lang w:val="en-US"/>
        </w:rPr>
        <w:t xml:space="preserve"> performed after that time limit shall be made for the remaining hours of the Gas Day. The last possible </w:t>
      </w:r>
      <w:proofErr w:type="spellStart"/>
      <w:r w:rsidRPr="00E45DFE">
        <w:rPr>
          <w:rFonts w:cs="Times New Roman"/>
          <w:szCs w:val="24"/>
          <w:lang w:val="en-US"/>
        </w:rPr>
        <w:t>Renomination</w:t>
      </w:r>
      <w:proofErr w:type="spellEnd"/>
      <w:r w:rsidRPr="00E45DFE">
        <w:rPr>
          <w:rFonts w:cs="Times New Roman"/>
          <w:szCs w:val="24"/>
          <w:lang w:val="en-US"/>
        </w:rPr>
        <w:t xml:space="preserve"> for the remaining hours of the Gas Day can be submitted on Gas Day D by 2:00 UTC (daylight saving time) and by 1:00 UTC (summer time).</w:t>
      </w:r>
    </w:p>
    <w:p w14:paraId="24E5B173" w14:textId="77777777" w:rsidR="00BC54EB" w:rsidRDefault="00BC54EB" w:rsidP="00BC54EB">
      <w:pPr>
        <w:tabs>
          <w:tab w:val="clear" w:pos="1304"/>
          <w:tab w:val="clear" w:pos="2608"/>
          <w:tab w:val="clear" w:pos="3912"/>
          <w:tab w:val="clear" w:pos="5216"/>
          <w:tab w:val="clear" w:pos="6521"/>
          <w:tab w:val="clear" w:pos="7825"/>
        </w:tabs>
        <w:rPr>
          <w:rFonts w:cs="Times New Roman"/>
          <w:szCs w:val="24"/>
          <w:lang w:val="en-US"/>
        </w:rPr>
      </w:pPr>
    </w:p>
    <w:p w14:paraId="1AD54805" w14:textId="77777777" w:rsidR="00BC54EB" w:rsidRDefault="00BC54EB" w:rsidP="00BC54EB">
      <w:pPr>
        <w:tabs>
          <w:tab w:val="clear" w:pos="1304"/>
          <w:tab w:val="clear" w:pos="2608"/>
          <w:tab w:val="clear" w:pos="3912"/>
          <w:tab w:val="clear" w:pos="5216"/>
          <w:tab w:val="clear" w:pos="6521"/>
          <w:tab w:val="clear" w:pos="7825"/>
        </w:tabs>
        <w:rPr>
          <w:rFonts w:cs="Times New Roman"/>
          <w:szCs w:val="24"/>
          <w:lang w:val="en-US"/>
        </w:rPr>
      </w:pPr>
      <w:r>
        <w:rPr>
          <w:rFonts w:cs="Times New Roman"/>
          <w:szCs w:val="24"/>
          <w:lang w:val="en-US"/>
        </w:rPr>
        <w:t>When submitting (Re)Nominations, t</w:t>
      </w:r>
      <w:r w:rsidRPr="00F3365D">
        <w:rPr>
          <w:rFonts w:cs="Times New Roman"/>
          <w:szCs w:val="24"/>
          <w:lang w:val="en-US"/>
        </w:rPr>
        <w:t xml:space="preserve">he Shipper shall </w:t>
      </w:r>
      <w:r>
        <w:rPr>
          <w:rFonts w:cs="Times New Roman"/>
          <w:szCs w:val="24"/>
          <w:lang w:val="en-US"/>
        </w:rPr>
        <w:t xml:space="preserve">include the following information: </w:t>
      </w:r>
    </w:p>
    <w:p w14:paraId="0338A6FC" w14:textId="77777777" w:rsidR="00BC54EB" w:rsidRDefault="00BC54EB" w:rsidP="00BC54EB">
      <w:pPr>
        <w:pStyle w:val="Luettelokappale"/>
        <w:numPr>
          <w:ilvl w:val="0"/>
          <w:numId w:val="16"/>
        </w:numPr>
        <w:tabs>
          <w:tab w:val="clear" w:pos="1304"/>
          <w:tab w:val="clear" w:pos="2608"/>
          <w:tab w:val="clear" w:pos="3912"/>
          <w:tab w:val="clear" w:pos="5216"/>
          <w:tab w:val="clear" w:pos="6521"/>
          <w:tab w:val="clear" w:pos="7825"/>
        </w:tabs>
        <w:rPr>
          <w:rFonts w:cs="Times New Roman"/>
          <w:szCs w:val="24"/>
          <w:lang w:val="en-US"/>
        </w:rPr>
      </w:pPr>
      <w:r>
        <w:rPr>
          <w:rFonts w:cs="Times New Roman"/>
          <w:szCs w:val="24"/>
          <w:lang w:val="en-US"/>
        </w:rPr>
        <w:t>Direction of the flow.</w:t>
      </w:r>
    </w:p>
    <w:p w14:paraId="2F6AC9BF" w14:textId="77777777" w:rsidR="00BC54EB" w:rsidRDefault="00BC54EB" w:rsidP="00BC54EB">
      <w:pPr>
        <w:pStyle w:val="Luettelokappale"/>
        <w:numPr>
          <w:ilvl w:val="0"/>
          <w:numId w:val="16"/>
        </w:numPr>
        <w:tabs>
          <w:tab w:val="clear" w:pos="1304"/>
          <w:tab w:val="clear" w:pos="2608"/>
          <w:tab w:val="clear" w:pos="3912"/>
          <w:tab w:val="clear" w:pos="5216"/>
          <w:tab w:val="clear" w:pos="6521"/>
          <w:tab w:val="clear" w:pos="7825"/>
        </w:tabs>
        <w:rPr>
          <w:rFonts w:cs="Times New Roman"/>
          <w:szCs w:val="24"/>
          <w:lang w:val="en-US"/>
        </w:rPr>
      </w:pPr>
      <w:r>
        <w:rPr>
          <w:rFonts w:cs="Times New Roman"/>
          <w:szCs w:val="24"/>
          <w:lang w:val="en-US"/>
        </w:rPr>
        <w:t xml:space="preserve">Requested </w:t>
      </w:r>
      <w:r w:rsidRPr="003748EE">
        <w:rPr>
          <w:rFonts w:cs="Times New Roman"/>
          <w:szCs w:val="24"/>
          <w:lang w:val="en-US"/>
        </w:rPr>
        <w:t xml:space="preserve">gas quantities, expressed </w:t>
      </w:r>
      <w:r>
        <w:rPr>
          <w:rFonts w:cs="Times New Roman"/>
          <w:szCs w:val="24"/>
          <w:lang w:val="en-US"/>
        </w:rPr>
        <w:t>in format</w:t>
      </w:r>
      <w:r w:rsidRPr="003748EE">
        <w:rPr>
          <w:rFonts w:cs="Times New Roman"/>
          <w:szCs w:val="24"/>
          <w:lang w:val="en-US"/>
        </w:rPr>
        <w:t xml:space="preserve"> kWh/h</w:t>
      </w:r>
    </w:p>
    <w:p w14:paraId="2ECA60B5" w14:textId="77777777" w:rsidR="00BC54EB" w:rsidRDefault="00BC54EB" w:rsidP="00BC54EB">
      <w:pPr>
        <w:pStyle w:val="Luettelokappale"/>
        <w:numPr>
          <w:ilvl w:val="0"/>
          <w:numId w:val="16"/>
        </w:numPr>
        <w:tabs>
          <w:tab w:val="clear" w:pos="1304"/>
          <w:tab w:val="clear" w:pos="2608"/>
          <w:tab w:val="clear" w:pos="3912"/>
          <w:tab w:val="clear" w:pos="5216"/>
          <w:tab w:val="clear" w:pos="6521"/>
          <w:tab w:val="clear" w:pos="7825"/>
        </w:tabs>
        <w:rPr>
          <w:rFonts w:cs="Times New Roman"/>
          <w:szCs w:val="24"/>
          <w:lang w:val="en-US"/>
        </w:rPr>
      </w:pPr>
      <w:r>
        <w:rPr>
          <w:rFonts w:cs="Times New Roman"/>
          <w:szCs w:val="24"/>
          <w:lang w:val="en-US"/>
        </w:rPr>
        <w:t>Shipper’s identification code</w:t>
      </w:r>
    </w:p>
    <w:p w14:paraId="6CB510A8" w14:textId="77777777" w:rsidR="00FE4241" w:rsidRDefault="00BC54EB" w:rsidP="00BC54EB">
      <w:pPr>
        <w:pStyle w:val="Luettelokappale"/>
        <w:numPr>
          <w:ilvl w:val="0"/>
          <w:numId w:val="16"/>
        </w:numPr>
        <w:tabs>
          <w:tab w:val="clear" w:pos="1304"/>
          <w:tab w:val="clear" w:pos="2608"/>
          <w:tab w:val="clear" w:pos="3912"/>
          <w:tab w:val="clear" w:pos="5216"/>
          <w:tab w:val="clear" w:pos="6521"/>
          <w:tab w:val="clear" w:pos="7825"/>
        </w:tabs>
        <w:rPr>
          <w:rFonts w:cs="Times New Roman"/>
          <w:szCs w:val="24"/>
          <w:lang w:val="en-US"/>
        </w:rPr>
      </w:pPr>
      <w:r>
        <w:rPr>
          <w:rFonts w:cs="Times New Roman"/>
          <w:szCs w:val="24"/>
          <w:lang w:val="en-US"/>
        </w:rPr>
        <w:t>S</w:t>
      </w:r>
      <w:r w:rsidRPr="001266C7">
        <w:rPr>
          <w:rFonts w:cs="Times New Roman"/>
          <w:szCs w:val="24"/>
          <w:lang w:val="en-US"/>
        </w:rPr>
        <w:t>hipper’s counterparty identification code</w:t>
      </w:r>
    </w:p>
    <w:p w14:paraId="24ECD2B4" w14:textId="38DF7329" w:rsidR="00BC54EB" w:rsidRDefault="00E82C9E" w:rsidP="00BC54EB">
      <w:pPr>
        <w:pStyle w:val="Luettelokappale"/>
        <w:numPr>
          <w:ilvl w:val="0"/>
          <w:numId w:val="16"/>
        </w:numPr>
        <w:tabs>
          <w:tab w:val="clear" w:pos="1304"/>
          <w:tab w:val="clear" w:pos="2608"/>
          <w:tab w:val="clear" w:pos="3912"/>
          <w:tab w:val="clear" w:pos="5216"/>
          <w:tab w:val="clear" w:pos="6521"/>
          <w:tab w:val="clear" w:pos="7825"/>
        </w:tabs>
        <w:rPr>
          <w:rFonts w:cs="Times New Roman"/>
          <w:szCs w:val="24"/>
          <w:lang w:val="en-US"/>
        </w:rPr>
      </w:pPr>
      <w:r>
        <w:rPr>
          <w:rFonts w:cs="Times New Roman"/>
          <w:szCs w:val="24"/>
          <w:lang w:val="en-US"/>
        </w:rPr>
        <w:t xml:space="preserve">Start </w:t>
      </w:r>
      <w:r w:rsidR="00C2469D">
        <w:rPr>
          <w:rFonts w:cs="Times New Roman"/>
          <w:szCs w:val="24"/>
          <w:lang w:val="en-US"/>
        </w:rPr>
        <w:t>time of the gas flow and Gas Days for which the (Re)Nomination is submitted</w:t>
      </w:r>
      <w:r w:rsidR="00BC54EB">
        <w:rPr>
          <w:rFonts w:cs="Times New Roman"/>
          <w:szCs w:val="24"/>
          <w:lang w:val="en-US"/>
        </w:rPr>
        <w:t>”</w:t>
      </w:r>
    </w:p>
    <w:p w14:paraId="3A6ACD35" w14:textId="77777777" w:rsidR="00105BAE" w:rsidRPr="00515001" w:rsidRDefault="00105BAE" w:rsidP="00EA517E">
      <w:pPr>
        <w:rPr>
          <w:rFonts w:ascii="Calibri" w:eastAsia="Times New Roman" w:hAnsi="Calibri" w:cs="Calibri"/>
          <w:sz w:val="36"/>
        </w:rPr>
      </w:pPr>
    </w:p>
    <w:sectPr w:rsidR="00105BAE" w:rsidRPr="00515001" w:rsidSect="003121F2">
      <w:headerReference w:type="default" r:id="rId9"/>
      <w:footerReference w:type="default" r:id="rId10"/>
      <w:headerReference w:type="first" r:id="rId11"/>
      <w:footerReference w:type="first" r:id="rId12"/>
      <w:pgSz w:w="11907" w:h="16839" w:code="9"/>
      <w:pgMar w:top="2279" w:right="1253" w:bottom="680" w:left="851" w:header="62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7E3D" w14:textId="77777777" w:rsidR="005B6646" w:rsidRDefault="005B6646" w:rsidP="003F770C">
      <w:r>
        <w:separator/>
      </w:r>
    </w:p>
  </w:endnote>
  <w:endnote w:type="continuationSeparator" w:id="0">
    <w:p w14:paraId="01289D20" w14:textId="77777777" w:rsidR="005B6646" w:rsidRDefault="005B6646" w:rsidP="003F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4CF6" w14:textId="245BF05C" w:rsidR="00AE23E2" w:rsidRPr="003121F2" w:rsidRDefault="00AE23E2" w:rsidP="00241366">
    <w:pPr>
      <w:tabs>
        <w:tab w:val="clear" w:pos="1304"/>
        <w:tab w:val="clear" w:pos="2608"/>
        <w:tab w:val="clear" w:pos="3912"/>
        <w:tab w:val="clear" w:pos="5216"/>
        <w:tab w:val="clear" w:pos="6521"/>
        <w:tab w:val="clear" w:pos="7825"/>
      </w:tabs>
      <w:rPr>
        <w:rFonts w:cs="Times New Roman"/>
        <w:i/>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245"/>
    </w:tblGrid>
    <w:tr w:rsidR="001E31B7" w:rsidRPr="00BD7091" w14:paraId="3A8A9F49" w14:textId="77777777" w:rsidTr="00410832">
      <w:trPr>
        <w:cantSplit/>
        <w:trHeight w:hRule="exact" w:val="397"/>
      </w:trPr>
      <w:tc>
        <w:tcPr>
          <w:tcW w:w="10598" w:type="dxa"/>
          <w:gridSpan w:val="2"/>
          <w:tcMar>
            <w:left w:w="0" w:type="dxa"/>
            <w:right w:w="0" w:type="dxa"/>
          </w:tcMar>
        </w:tcPr>
        <w:p w14:paraId="5EF6BBAC" w14:textId="77777777" w:rsidR="001E31B7" w:rsidRPr="00BD7091" w:rsidRDefault="001E31B7" w:rsidP="006D5960">
          <w:pPr>
            <w:pStyle w:val="Alatunniste"/>
          </w:pPr>
        </w:p>
      </w:tc>
    </w:tr>
    <w:tr w:rsidR="001E31B7" w:rsidRPr="006D59BA" w14:paraId="65A848C7" w14:textId="77777777" w:rsidTr="00410832">
      <w:trPr>
        <w:cantSplit/>
        <w:trHeight w:hRule="exact" w:val="1020"/>
      </w:trPr>
      <w:tc>
        <w:tcPr>
          <w:tcW w:w="5353" w:type="dxa"/>
          <w:tcMar>
            <w:left w:w="0" w:type="dxa"/>
            <w:right w:w="0" w:type="dxa"/>
          </w:tcMar>
        </w:tcPr>
        <w:p w14:paraId="0AD6A7CD" w14:textId="0C78113C" w:rsidR="001E31B7" w:rsidRPr="00515001" w:rsidRDefault="001E31B7" w:rsidP="006D5960">
          <w:pPr>
            <w:pStyle w:val="Alatunniste"/>
            <w:rPr>
              <w:lang w:val="fi-FI"/>
            </w:rPr>
          </w:pPr>
        </w:p>
      </w:tc>
      <w:tc>
        <w:tcPr>
          <w:tcW w:w="5245" w:type="dxa"/>
          <w:tcMar>
            <w:left w:w="0" w:type="dxa"/>
            <w:right w:w="0" w:type="dxa"/>
          </w:tcMar>
        </w:tcPr>
        <w:p w14:paraId="3BE1EF5B" w14:textId="4CBE162A" w:rsidR="001E31B7" w:rsidRPr="003374BB" w:rsidRDefault="001E31B7" w:rsidP="00144D7D">
          <w:pPr>
            <w:pStyle w:val="Alatunniste"/>
          </w:pPr>
        </w:p>
      </w:tc>
    </w:tr>
  </w:tbl>
  <w:p w14:paraId="03FCF3FB" w14:textId="77777777" w:rsidR="00F9737F" w:rsidRPr="005D785F" w:rsidRDefault="00F9737F" w:rsidP="001E3E0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98B6" w14:textId="77777777" w:rsidR="005B6646" w:rsidRDefault="005B6646" w:rsidP="003F770C">
      <w:r>
        <w:separator/>
      </w:r>
    </w:p>
  </w:footnote>
  <w:footnote w:type="continuationSeparator" w:id="0">
    <w:p w14:paraId="32CD77A6" w14:textId="77777777" w:rsidR="005B6646" w:rsidRDefault="005B6646" w:rsidP="003F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tblGrid>
    <w:tr w:rsidR="00B638DE" w14:paraId="40C2D657" w14:textId="77777777" w:rsidTr="00181730">
      <w:trPr>
        <w:trHeight w:hRule="exact" w:val="255"/>
      </w:trPr>
      <w:tc>
        <w:tcPr>
          <w:tcW w:w="5353" w:type="dxa"/>
          <w:vMerge w:val="restart"/>
        </w:tcPr>
        <w:p w14:paraId="39F76694" w14:textId="77777777" w:rsidR="00B638DE" w:rsidRDefault="00B638DE" w:rsidP="00B638DE">
          <w:pPr>
            <w:pStyle w:val="Yltunniste"/>
          </w:pPr>
          <w:r>
            <w:rPr>
              <w:noProof/>
              <w:lang w:eastAsia="fi-FI"/>
            </w:rPr>
            <w:drawing>
              <wp:inline distT="0" distB="0" distL="0" distR="0" wp14:anchorId="100C0938" wp14:editId="38CA71CD">
                <wp:extent cx="1080000" cy="241200"/>
                <wp:effectExtent l="0" t="0" r="0" b="0"/>
                <wp:docPr id="3" name="Kuva 13" descr="Gasum-logo-musta_vasen tasa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m-logo-musta_vasen tasan.wmf"/>
                        <pic:cNvPicPr/>
                      </pic:nvPicPr>
                      <pic:blipFill>
                        <a:blip r:embed="rId1"/>
                        <a:stretch>
                          <a:fillRect/>
                        </a:stretch>
                      </pic:blipFill>
                      <pic:spPr>
                        <a:xfrm>
                          <a:off x="0" y="0"/>
                          <a:ext cx="1080000" cy="241200"/>
                        </a:xfrm>
                        <a:prstGeom prst="rect">
                          <a:avLst/>
                        </a:prstGeom>
                      </pic:spPr>
                    </pic:pic>
                  </a:graphicData>
                </a:graphic>
              </wp:inline>
            </w:drawing>
          </w:r>
        </w:p>
      </w:tc>
      <w:tc>
        <w:tcPr>
          <w:tcW w:w="2693" w:type="dxa"/>
          <w:vAlign w:val="center"/>
        </w:tcPr>
        <w:p w14:paraId="63270651" w14:textId="205BD8E3" w:rsidR="00B638DE" w:rsidRPr="00B638DE" w:rsidRDefault="00B638DE" w:rsidP="00B638DE"/>
        <w:p w14:paraId="6B2A475C" w14:textId="77777777" w:rsidR="00B638DE" w:rsidRPr="00B638DE" w:rsidRDefault="00B638DE" w:rsidP="00B638DE"/>
      </w:tc>
      <w:tc>
        <w:tcPr>
          <w:tcW w:w="1843" w:type="dxa"/>
          <w:vAlign w:val="center"/>
        </w:tcPr>
        <w:p w14:paraId="500090E1" w14:textId="77777777" w:rsidR="00B638DE" w:rsidRPr="00B638DE" w:rsidRDefault="00B638DE" w:rsidP="00B638DE">
          <w:pPr>
            <w:jc w:val="right"/>
          </w:pPr>
          <w:r w:rsidRPr="00B638DE">
            <w:fldChar w:fldCharType="begin"/>
          </w:r>
          <w:r w:rsidRPr="00B638DE">
            <w:instrText>PAGE</w:instrText>
          </w:r>
          <w:r w:rsidRPr="00B638DE">
            <w:fldChar w:fldCharType="separate"/>
          </w:r>
          <w:r>
            <w:t>1</w:t>
          </w:r>
          <w:r w:rsidRPr="00B638DE">
            <w:fldChar w:fldCharType="end"/>
          </w:r>
          <w:r w:rsidRPr="00B638DE">
            <w:t xml:space="preserve"> (</w:t>
          </w:r>
          <w:r w:rsidRPr="00B638DE">
            <w:fldChar w:fldCharType="begin"/>
          </w:r>
          <w:r w:rsidRPr="00B638DE">
            <w:instrText>NUMPAGES</w:instrText>
          </w:r>
          <w:r w:rsidRPr="00B638DE">
            <w:fldChar w:fldCharType="separate"/>
          </w:r>
          <w:r>
            <w:t>2</w:t>
          </w:r>
          <w:r w:rsidRPr="00B638DE">
            <w:fldChar w:fldCharType="end"/>
          </w:r>
          <w:r w:rsidRPr="00B638DE">
            <w:t>)</w:t>
          </w:r>
        </w:p>
      </w:tc>
    </w:tr>
    <w:tr w:rsidR="00B638DE" w14:paraId="6272D32D" w14:textId="77777777" w:rsidTr="00181730">
      <w:trPr>
        <w:trHeight w:hRule="exact" w:val="255"/>
      </w:trPr>
      <w:tc>
        <w:tcPr>
          <w:tcW w:w="5353" w:type="dxa"/>
          <w:vMerge/>
        </w:tcPr>
        <w:p w14:paraId="0DA58FD7" w14:textId="77777777" w:rsidR="00B638DE" w:rsidRDefault="00B638DE" w:rsidP="00B638DE">
          <w:pPr>
            <w:pStyle w:val="Yltunniste"/>
          </w:pPr>
        </w:p>
      </w:tc>
      <w:tc>
        <w:tcPr>
          <w:tcW w:w="2693" w:type="dxa"/>
          <w:vAlign w:val="center"/>
        </w:tcPr>
        <w:p w14:paraId="238BE27B" w14:textId="77777777" w:rsidR="00B638DE" w:rsidRPr="00B638DE" w:rsidRDefault="00B638DE" w:rsidP="00B638DE"/>
      </w:tc>
      <w:tc>
        <w:tcPr>
          <w:tcW w:w="1843" w:type="dxa"/>
          <w:vAlign w:val="center"/>
        </w:tcPr>
        <w:p w14:paraId="487C4513" w14:textId="77777777" w:rsidR="00B638DE" w:rsidRPr="00B638DE" w:rsidRDefault="00B638DE" w:rsidP="00B638DE">
          <w:pPr>
            <w:jc w:val="right"/>
          </w:pPr>
        </w:p>
      </w:tc>
    </w:tr>
    <w:tr w:rsidR="00B638DE" w:rsidRPr="00573BBF" w14:paraId="28F4DCD4" w14:textId="77777777" w:rsidTr="00181730">
      <w:trPr>
        <w:trHeight w:hRule="exact" w:val="255"/>
      </w:trPr>
      <w:tc>
        <w:tcPr>
          <w:tcW w:w="5353" w:type="dxa"/>
          <w:vAlign w:val="center"/>
        </w:tcPr>
        <w:p w14:paraId="6A1C470D" w14:textId="444D68C9" w:rsidR="00B638DE" w:rsidRPr="005A0FA6" w:rsidRDefault="00B638DE" w:rsidP="00B638DE">
          <w:pPr>
            <w:pStyle w:val="Yltunniste"/>
            <w:rPr>
              <w:szCs w:val="18"/>
            </w:rPr>
          </w:pPr>
        </w:p>
      </w:tc>
      <w:tc>
        <w:tcPr>
          <w:tcW w:w="2693" w:type="dxa"/>
          <w:vAlign w:val="center"/>
        </w:tcPr>
        <w:p w14:paraId="59DEB887" w14:textId="4F0AA586" w:rsidR="00B638DE" w:rsidRPr="00573BBF" w:rsidRDefault="005B6646" w:rsidP="00B638DE">
          <w:pPr>
            <w:pStyle w:val="Yltunniste"/>
          </w:pPr>
          <w:sdt>
            <w:sdtPr>
              <w:alias w:val="Date"/>
              <w:tag w:val="Date"/>
              <w:id w:val="-399362747"/>
              <w:dataBinding w:prefixMappings="xmlns:ns0='http://schemas.microsoft.com/office/2006/coverPageProps'" w:xpath="/ns0:CoverPageProperties[1]/ns0:PublishDate[1]" w:storeItemID="{55AF091B-3C7A-41E3-B477-F2FDAA23CFDA}"/>
              <w:date w:fullDate="2019-03-12T00:00:00Z">
                <w:dateFormat w:val="MMMM d, yyyy"/>
                <w:lid w:val="en-US"/>
                <w:storeMappedDataAs w:val="dateTime"/>
                <w:calendar w:val="gregorian"/>
              </w:date>
            </w:sdtPr>
            <w:sdtEndPr/>
            <w:sdtContent>
              <w:r w:rsidR="00515001">
                <w:rPr>
                  <w:lang w:val="en-US"/>
                </w:rPr>
                <w:t>March 12, 2019</w:t>
              </w:r>
            </w:sdtContent>
          </w:sdt>
        </w:p>
      </w:tc>
      <w:tc>
        <w:tcPr>
          <w:tcW w:w="1843" w:type="dxa"/>
          <w:vAlign w:val="center"/>
        </w:tcPr>
        <w:p w14:paraId="505A0815" w14:textId="77777777" w:rsidR="00B638DE" w:rsidRPr="00573BBF" w:rsidRDefault="00B638DE" w:rsidP="00B638DE">
          <w:pPr>
            <w:pStyle w:val="Yltunniste"/>
            <w:jc w:val="right"/>
          </w:pPr>
        </w:p>
      </w:tc>
    </w:tr>
    <w:tr w:rsidR="00B638DE" w:rsidRPr="00573BBF" w14:paraId="572F1945" w14:textId="77777777" w:rsidTr="00181730">
      <w:trPr>
        <w:trHeight w:hRule="exact" w:val="255"/>
      </w:trPr>
      <w:tc>
        <w:tcPr>
          <w:tcW w:w="5353" w:type="dxa"/>
          <w:vAlign w:val="center"/>
        </w:tcPr>
        <w:p w14:paraId="54C88AA1" w14:textId="77777777" w:rsidR="00B638DE" w:rsidRDefault="00B638DE" w:rsidP="00B638DE">
          <w:pPr>
            <w:pStyle w:val="Yltunniste"/>
            <w:rPr>
              <w:rStyle w:val="YltunnisteChar"/>
              <w:szCs w:val="18"/>
            </w:rPr>
          </w:pPr>
        </w:p>
      </w:tc>
      <w:tc>
        <w:tcPr>
          <w:tcW w:w="2693" w:type="dxa"/>
          <w:vAlign w:val="center"/>
        </w:tcPr>
        <w:p w14:paraId="2C7B259F" w14:textId="77777777" w:rsidR="00B638DE" w:rsidRDefault="00B638DE" w:rsidP="00B638DE">
          <w:pPr>
            <w:pStyle w:val="Yltunniste"/>
            <w:rPr>
              <w:rStyle w:val="YltunnisteChar"/>
            </w:rPr>
          </w:pPr>
        </w:p>
      </w:tc>
      <w:tc>
        <w:tcPr>
          <w:tcW w:w="1843" w:type="dxa"/>
          <w:vAlign w:val="center"/>
        </w:tcPr>
        <w:p w14:paraId="0B5F0428" w14:textId="77777777" w:rsidR="00B638DE" w:rsidRPr="00573BBF" w:rsidRDefault="00B638DE" w:rsidP="00B638DE">
          <w:pPr>
            <w:pStyle w:val="Yltunniste"/>
            <w:jc w:val="right"/>
          </w:pPr>
        </w:p>
      </w:tc>
    </w:tr>
  </w:tbl>
  <w:p w14:paraId="44E94262" w14:textId="77777777" w:rsidR="00F9737F" w:rsidRPr="00B638DE" w:rsidRDefault="00F9737F" w:rsidP="00B638D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tblGrid>
    <w:tr w:rsidR="00817A1A" w14:paraId="082014B9" w14:textId="77777777" w:rsidTr="00181730">
      <w:trPr>
        <w:trHeight w:hRule="exact" w:val="255"/>
      </w:trPr>
      <w:tc>
        <w:tcPr>
          <w:tcW w:w="5353" w:type="dxa"/>
          <w:vMerge w:val="restart"/>
        </w:tcPr>
        <w:p w14:paraId="1AC3472C" w14:textId="77777777" w:rsidR="00817A1A" w:rsidRDefault="00817A1A" w:rsidP="00B638DE">
          <w:pPr>
            <w:pStyle w:val="Yltunniste"/>
          </w:pPr>
          <w:r>
            <w:rPr>
              <w:noProof/>
              <w:lang w:eastAsia="fi-FI"/>
            </w:rPr>
            <w:drawing>
              <wp:inline distT="0" distB="0" distL="0" distR="0" wp14:anchorId="6F1E1964" wp14:editId="70C11054">
                <wp:extent cx="1080000" cy="241200"/>
                <wp:effectExtent l="0" t="0" r="0" b="0"/>
                <wp:docPr id="8" name="Kuva 13" descr="Gasum-logo-musta_vasen tasa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m-logo-musta_vasen tasan.wmf"/>
                        <pic:cNvPicPr/>
                      </pic:nvPicPr>
                      <pic:blipFill>
                        <a:blip r:embed="rId1"/>
                        <a:stretch>
                          <a:fillRect/>
                        </a:stretch>
                      </pic:blipFill>
                      <pic:spPr>
                        <a:xfrm>
                          <a:off x="0" y="0"/>
                          <a:ext cx="1080000" cy="241200"/>
                        </a:xfrm>
                        <a:prstGeom prst="rect">
                          <a:avLst/>
                        </a:prstGeom>
                      </pic:spPr>
                    </pic:pic>
                  </a:graphicData>
                </a:graphic>
              </wp:inline>
            </w:drawing>
          </w:r>
        </w:p>
      </w:tc>
      <w:tc>
        <w:tcPr>
          <w:tcW w:w="2693" w:type="dxa"/>
          <w:vAlign w:val="center"/>
        </w:tcPr>
        <w:p w14:paraId="508E1F9A" w14:textId="3B254626" w:rsidR="006B6E63" w:rsidRPr="00B638DE" w:rsidRDefault="006B6E63" w:rsidP="00B638DE"/>
        <w:p w14:paraId="775F2EC2" w14:textId="77777777" w:rsidR="00817A1A" w:rsidRPr="00B638DE" w:rsidRDefault="00817A1A" w:rsidP="00B638DE"/>
      </w:tc>
      <w:tc>
        <w:tcPr>
          <w:tcW w:w="1843" w:type="dxa"/>
          <w:vAlign w:val="center"/>
        </w:tcPr>
        <w:p w14:paraId="1991C430" w14:textId="77777777" w:rsidR="00817A1A" w:rsidRPr="00B638DE" w:rsidRDefault="00817A1A" w:rsidP="00B638DE">
          <w:pPr>
            <w:jc w:val="right"/>
          </w:pPr>
          <w:r w:rsidRPr="00B638DE">
            <w:fldChar w:fldCharType="begin"/>
          </w:r>
          <w:r w:rsidRPr="00B638DE">
            <w:instrText>PAGE</w:instrText>
          </w:r>
          <w:r w:rsidRPr="00B638DE">
            <w:fldChar w:fldCharType="separate"/>
          </w:r>
          <w:r w:rsidRPr="00B638DE">
            <w:t>1</w:t>
          </w:r>
          <w:r w:rsidRPr="00B638DE">
            <w:fldChar w:fldCharType="end"/>
          </w:r>
          <w:r w:rsidRPr="00B638DE">
            <w:t xml:space="preserve"> (</w:t>
          </w:r>
          <w:r w:rsidRPr="00B638DE">
            <w:fldChar w:fldCharType="begin"/>
          </w:r>
          <w:r w:rsidRPr="00B638DE">
            <w:instrText>NUMPAGES</w:instrText>
          </w:r>
          <w:r w:rsidRPr="00B638DE">
            <w:fldChar w:fldCharType="separate"/>
          </w:r>
          <w:r w:rsidRPr="00B638DE">
            <w:t>2</w:t>
          </w:r>
          <w:r w:rsidRPr="00B638DE">
            <w:fldChar w:fldCharType="end"/>
          </w:r>
          <w:r w:rsidRPr="00B638DE">
            <w:t>)</w:t>
          </w:r>
        </w:p>
      </w:tc>
    </w:tr>
    <w:tr w:rsidR="00817A1A" w14:paraId="3B9FAF13" w14:textId="77777777" w:rsidTr="00181730">
      <w:trPr>
        <w:trHeight w:hRule="exact" w:val="255"/>
      </w:trPr>
      <w:tc>
        <w:tcPr>
          <w:tcW w:w="5353" w:type="dxa"/>
          <w:vMerge/>
        </w:tcPr>
        <w:p w14:paraId="51C7A1EC" w14:textId="77777777" w:rsidR="00817A1A" w:rsidRDefault="00817A1A" w:rsidP="00B638DE">
          <w:pPr>
            <w:pStyle w:val="Yltunniste"/>
          </w:pPr>
        </w:p>
      </w:tc>
      <w:tc>
        <w:tcPr>
          <w:tcW w:w="2693" w:type="dxa"/>
          <w:vAlign w:val="center"/>
        </w:tcPr>
        <w:p w14:paraId="729BB4B8" w14:textId="77777777" w:rsidR="00817A1A" w:rsidRPr="00B638DE" w:rsidRDefault="00817A1A" w:rsidP="00B638DE"/>
      </w:tc>
      <w:tc>
        <w:tcPr>
          <w:tcW w:w="1843" w:type="dxa"/>
          <w:vAlign w:val="center"/>
        </w:tcPr>
        <w:p w14:paraId="5A70FCD0" w14:textId="77777777" w:rsidR="00817A1A" w:rsidRPr="00B638DE" w:rsidRDefault="00817A1A" w:rsidP="00B638DE">
          <w:pPr>
            <w:jc w:val="right"/>
          </w:pPr>
        </w:p>
      </w:tc>
    </w:tr>
    <w:tr w:rsidR="00817A1A" w:rsidRPr="00573BBF" w14:paraId="4A4A7AC8" w14:textId="77777777" w:rsidTr="00181730">
      <w:trPr>
        <w:trHeight w:hRule="exact" w:val="255"/>
      </w:trPr>
      <w:tc>
        <w:tcPr>
          <w:tcW w:w="5353" w:type="dxa"/>
          <w:vAlign w:val="center"/>
        </w:tcPr>
        <w:p w14:paraId="780C3AE0" w14:textId="448D56DD" w:rsidR="00817A1A" w:rsidRPr="005A0FA6" w:rsidRDefault="005B6646" w:rsidP="00B638DE">
          <w:pPr>
            <w:pStyle w:val="Yltunniste"/>
            <w:rPr>
              <w:szCs w:val="18"/>
            </w:rPr>
          </w:pPr>
          <w:sdt>
            <w:sdtPr>
              <w:rPr>
                <w:rStyle w:val="YltunnisteChar"/>
                <w:szCs w:val="18"/>
              </w:rPr>
              <w:alias w:val="Author"/>
              <w:tag w:val="Author"/>
              <w:id w:val="1757167905"/>
              <w:showingPlcHdr/>
              <w:dataBinding w:prefixMappings="xmlns:ns0='http://schemas.openxmlformats.org/package/2006/metadata/core-properties' xmlns:ns1='http://purl.org/dc/elements/1.1/'" w:xpath="/ns0:coreProperties[1]/ns1:title[1]" w:storeItemID="{6C3C8BC8-F283-45AE-878A-BAB7291924A1}"/>
              <w:text/>
            </w:sdtPr>
            <w:sdtEndPr>
              <w:rPr>
                <w:rStyle w:val="Kappaleenoletusfontti"/>
                <w:rFonts w:asciiTheme="majorHAnsi" w:eastAsiaTheme="majorEastAsia" w:hAnsiTheme="majorHAnsi" w:cstheme="majorBidi"/>
                <w:color w:val="1257EF" w:themeColor="accent1" w:themeShade="BF"/>
              </w:rPr>
            </w:sdtEndPr>
            <w:sdtContent>
              <w:r w:rsidR="00515001">
                <w:rPr>
                  <w:rStyle w:val="YltunnisteChar"/>
                  <w:szCs w:val="18"/>
                </w:rPr>
                <w:t xml:space="preserve">     </w:t>
              </w:r>
            </w:sdtContent>
          </w:sdt>
        </w:p>
      </w:tc>
      <w:tc>
        <w:tcPr>
          <w:tcW w:w="2693" w:type="dxa"/>
          <w:vAlign w:val="center"/>
        </w:tcPr>
        <w:p w14:paraId="083B8E74" w14:textId="74A821AD" w:rsidR="00817A1A" w:rsidRPr="00573BBF" w:rsidRDefault="005B6646" w:rsidP="00B638DE">
          <w:pPr>
            <w:pStyle w:val="Yltunniste"/>
          </w:pPr>
          <w:sdt>
            <w:sdtPr>
              <w:alias w:val="Date"/>
              <w:tag w:val="Date"/>
              <w:id w:val="78404859"/>
              <w:dataBinding w:prefixMappings="xmlns:ns0='http://schemas.microsoft.com/office/2006/coverPageProps'" w:xpath="/ns0:CoverPageProperties[1]/ns0:PublishDate[1]" w:storeItemID="{55AF091B-3C7A-41E3-B477-F2FDAA23CFDA}"/>
              <w:date w:fullDate="2019-03-12T00:00:00Z">
                <w:dateFormat w:val="MMMM d, yyyy"/>
                <w:lid w:val="en-US"/>
                <w:storeMappedDataAs w:val="dateTime"/>
                <w:calendar w:val="gregorian"/>
              </w:date>
            </w:sdtPr>
            <w:sdtEndPr/>
            <w:sdtContent>
              <w:r w:rsidR="00515001">
                <w:rPr>
                  <w:lang w:val="en-US"/>
                </w:rPr>
                <w:t>March 12, 2019</w:t>
              </w:r>
            </w:sdtContent>
          </w:sdt>
        </w:p>
      </w:tc>
      <w:tc>
        <w:tcPr>
          <w:tcW w:w="1843" w:type="dxa"/>
          <w:vAlign w:val="center"/>
        </w:tcPr>
        <w:p w14:paraId="6FD49AFB" w14:textId="77777777" w:rsidR="00817A1A" w:rsidRPr="00573BBF" w:rsidRDefault="00817A1A" w:rsidP="00B638DE">
          <w:pPr>
            <w:pStyle w:val="Yltunniste"/>
            <w:jc w:val="right"/>
          </w:pPr>
        </w:p>
      </w:tc>
    </w:tr>
    <w:tr w:rsidR="00817A1A" w:rsidRPr="00573BBF" w14:paraId="0DFCD90D" w14:textId="77777777" w:rsidTr="00181730">
      <w:trPr>
        <w:trHeight w:hRule="exact" w:val="255"/>
      </w:trPr>
      <w:tc>
        <w:tcPr>
          <w:tcW w:w="5353" w:type="dxa"/>
          <w:vAlign w:val="center"/>
        </w:tcPr>
        <w:p w14:paraId="26551E34" w14:textId="77777777" w:rsidR="00817A1A" w:rsidRDefault="00817A1A" w:rsidP="00B638DE">
          <w:pPr>
            <w:pStyle w:val="Yltunniste"/>
            <w:rPr>
              <w:rStyle w:val="YltunnisteChar"/>
              <w:szCs w:val="18"/>
            </w:rPr>
          </w:pPr>
        </w:p>
      </w:tc>
      <w:tc>
        <w:tcPr>
          <w:tcW w:w="2693" w:type="dxa"/>
          <w:vAlign w:val="center"/>
        </w:tcPr>
        <w:p w14:paraId="2A7478AC" w14:textId="77777777" w:rsidR="00817A1A" w:rsidRDefault="00817A1A" w:rsidP="00B638DE">
          <w:pPr>
            <w:pStyle w:val="Yltunniste"/>
            <w:rPr>
              <w:rStyle w:val="YltunnisteChar"/>
            </w:rPr>
          </w:pPr>
        </w:p>
      </w:tc>
      <w:tc>
        <w:tcPr>
          <w:tcW w:w="1843" w:type="dxa"/>
          <w:vAlign w:val="center"/>
        </w:tcPr>
        <w:p w14:paraId="514638C6" w14:textId="77777777" w:rsidR="00817A1A" w:rsidRPr="00573BBF" w:rsidRDefault="00817A1A" w:rsidP="00B638DE">
          <w:pPr>
            <w:pStyle w:val="Yltunniste"/>
            <w:jc w:val="right"/>
          </w:pPr>
        </w:p>
      </w:tc>
    </w:tr>
  </w:tbl>
  <w:p w14:paraId="381F8863" w14:textId="77777777" w:rsidR="00F9737F" w:rsidRPr="00817A1A" w:rsidRDefault="00F9737F" w:rsidP="002A35C5">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979"/>
    <w:multiLevelType w:val="hybridMultilevel"/>
    <w:tmpl w:val="7ED64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60929"/>
    <w:multiLevelType w:val="multilevel"/>
    <w:tmpl w:val="4926A678"/>
    <w:lvl w:ilvl="0">
      <w:start w:val="2"/>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184616D"/>
    <w:multiLevelType w:val="hybridMultilevel"/>
    <w:tmpl w:val="2A6E0320"/>
    <w:lvl w:ilvl="0" w:tplc="D7F45AC8">
      <w:start w:val="1"/>
      <w:numFmt w:val="lowerLetter"/>
      <w:lvlText w:val="%1)"/>
      <w:lvlJc w:val="left"/>
      <w:pPr>
        <w:ind w:left="36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15:restartNumberingAfterBreak="0">
    <w:nsid w:val="0F9B6E9D"/>
    <w:multiLevelType w:val="multilevel"/>
    <w:tmpl w:val="AC6C1A10"/>
    <w:lvl w:ilvl="0">
      <w:start w:val="2"/>
      <w:numFmt w:val="decimal"/>
      <w:lvlText w:val="%1."/>
      <w:lvlJc w:val="left"/>
      <w:pPr>
        <w:ind w:left="360" w:hanging="360"/>
      </w:pPr>
      <w:rPr>
        <w:rFonts w:hint="default"/>
      </w:rPr>
    </w:lvl>
    <w:lvl w:ilvl="1">
      <w:start w:val="1"/>
      <w:numFmt w:val="decimal"/>
      <w:lvlText w:val="2.%2."/>
      <w:lvlJc w:val="left"/>
      <w:pPr>
        <w:ind w:left="377" w:hanging="377"/>
      </w:pPr>
      <w:rPr>
        <w:rFonts w:hint="default"/>
        <w:b w:val="0"/>
        <w:sz w:val="22"/>
        <w:lang w:val="en-GB"/>
      </w:rPr>
    </w:lvl>
    <w:lvl w:ilvl="2">
      <w:start w:val="1"/>
      <w:numFmt w:val="decimal"/>
      <w:lvlText w:val="%1.%2.%3."/>
      <w:lvlJc w:val="left"/>
      <w:pPr>
        <w:ind w:left="584" w:hanging="584"/>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C30C8E"/>
    <w:multiLevelType w:val="hybridMultilevel"/>
    <w:tmpl w:val="6254A488"/>
    <w:lvl w:ilvl="0" w:tplc="84261492">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71AD"/>
    <w:multiLevelType w:val="hybridMultilevel"/>
    <w:tmpl w:val="8D70A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83CD1"/>
    <w:multiLevelType w:val="multilevel"/>
    <w:tmpl w:val="C540D53A"/>
    <w:lvl w:ilvl="0">
      <w:start w:val="1"/>
      <w:numFmt w:val="decimal"/>
      <w:lvlText w:val="%1."/>
      <w:lvlJc w:val="left"/>
      <w:pPr>
        <w:ind w:left="360" w:hanging="360"/>
      </w:pPr>
      <w:rPr>
        <w:rFonts w:hint="default"/>
      </w:rPr>
    </w:lvl>
    <w:lvl w:ilvl="1">
      <w:start w:val="1"/>
      <w:numFmt w:val="decimal"/>
      <w:lvlText w:val="%1.%2."/>
      <w:lvlJc w:val="left"/>
      <w:pPr>
        <w:ind w:left="377" w:hanging="377"/>
      </w:pPr>
      <w:rPr>
        <w:rFonts w:ascii="Times New Roman" w:hAnsi="Times New Roman" w:cs="Times New Roman" w:hint="default"/>
        <w:sz w:val="22"/>
        <w:szCs w:val="22"/>
        <w:lang w:val="en-US"/>
      </w:rPr>
    </w:lvl>
    <w:lvl w:ilvl="2">
      <w:start w:val="1"/>
      <w:numFmt w:val="decimal"/>
      <w:lvlText w:val="%1.%2.%3."/>
      <w:lvlJc w:val="left"/>
      <w:pPr>
        <w:ind w:left="584" w:hanging="584"/>
      </w:pPr>
      <w:rPr>
        <w:rFonts w:ascii="Times New Roman" w:hAnsi="Times New Roman" w:cs="Times New Roman" w:hint="default"/>
        <w:sz w:val="22"/>
      </w:rPr>
    </w:lvl>
    <w:lvl w:ilvl="3">
      <w:start w:val="1"/>
      <w:numFmt w:val="decimal"/>
      <w:lvlText w:val="%1.%2.%3.%4."/>
      <w:lvlJc w:val="left"/>
      <w:pPr>
        <w:ind w:left="734" w:hanging="734"/>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6945EC"/>
    <w:multiLevelType w:val="hybridMultilevel"/>
    <w:tmpl w:val="446C4548"/>
    <w:lvl w:ilvl="0" w:tplc="4DF402B0">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37AB4F62"/>
    <w:multiLevelType w:val="multilevel"/>
    <w:tmpl w:val="27E272BE"/>
    <w:lvl w:ilvl="0">
      <w:start w:val="1"/>
      <w:numFmt w:val="decimal"/>
      <w:lvlText w:val="%1."/>
      <w:lvlJc w:val="left"/>
      <w:pPr>
        <w:ind w:left="360" w:hanging="360"/>
      </w:pPr>
      <w:rPr>
        <w:rFonts w:hint="default"/>
      </w:rPr>
    </w:lvl>
    <w:lvl w:ilvl="1">
      <w:start w:val="1"/>
      <w:numFmt w:val="decimal"/>
      <w:lvlText w:val="2.%2."/>
      <w:lvlJc w:val="left"/>
      <w:pPr>
        <w:ind w:left="377" w:hanging="377"/>
      </w:pPr>
      <w:rPr>
        <w:rFonts w:hint="default"/>
        <w:sz w:val="22"/>
        <w:lang w:val="en-GB"/>
      </w:rPr>
    </w:lvl>
    <w:lvl w:ilvl="2">
      <w:start w:val="1"/>
      <w:numFmt w:val="decimal"/>
      <w:lvlText w:val="%1.%2.%3."/>
      <w:lvlJc w:val="left"/>
      <w:pPr>
        <w:ind w:left="584" w:hanging="584"/>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F612E9"/>
    <w:multiLevelType w:val="hybridMultilevel"/>
    <w:tmpl w:val="BB808FC0"/>
    <w:lvl w:ilvl="0" w:tplc="2898CFB4">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81AD7"/>
    <w:multiLevelType w:val="multilevel"/>
    <w:tmpl w:val="E2CC27F0"/>
    <w:lvl w:ilvl="0">
      <w:start w:val="3"/>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40EF47DD"/>
    <w:multiLevelType w:val="hybridMultilevel"/>
    <w:tmpl w:val="932EE496"/>
    <w:lvl w:ilvl="0" w:tplc="521085CA">
      <w:start w:val="1"/>
      <w:numFmt w:val="lowerRoman"/>
      <w:lvlText w:val="(%1)"/>
      <w:lvlJc w:val="left"/>
      <w:pPr>
        <w:ind w:left="1080" w:hanging="72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45E1154B"/>
    <w:multiLevelType w:val="hybridMultilevel"/>
    <w:tmpl w:val="3DFC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224AE"/>
    <w:multiLevelType w:val="multilevel"/>
    <w:tmpl w:val="9B4C3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944299C"/>
    <w:multiLevelType w:val="multilevel"/>
    <w:tmpl w:val="14B49A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DF4D3C"/>
    <w:multiLevelType w:val="hybridMultilevel"/>
    <w:tmpl w:val="183C2B1E"/>
    <w:lvl w:ilvl="0" w:tplc="521085C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15:restartNumberingAfterBreak="0">
    <w:nsid w:val="77A13C34"/>
    <w:multiLevelType w:val="multilevel"/>
    <w:tmpl w:val="27E272BE"/>
    <w:lvl w:ilvl="0">
      <w:start w:val="1"/>
      <w:numFmt w:val="decimal"/>
      <w:lvlText w:val="%1."/>
      <w:lvlJc w:val="left"/>
      <w:pPr>
        <w:ind w:left="360" w:hanging="360"/>
      </w:pPr>
      <w:rPr>
        <w:rFonts w:hint="default"/>
      </w:rPr>
    </w:lvl>
    <w:lvl w:ilvl="1">
      <w:start w:val="1"/>
      <w:numFmt w:val="decimal"/>
      <w:lvlText w:val="2.%2."/>
      <w:lvlJc w:val="left"/>
      <w:pPr>
        <w:ind w:left="377" w:hanging="377"/>
      </w:pPr>
      <w:rPr>
        <w:rFonts w:hint="default"/>
        <w:sz w:val="22"/>
        <w:lang w:val="en-GB"/>
      </w:rPr>
    </w:lvl>
    <w:lvl w:ilvl="2">
      <w:start w:val="1"/>
      <w:numFmt w:val="decimal"/>
      <w:lvlText w:val="%1.%2.%3."/>
      <w:lvlJc w:val="left"/>
      <w:pPr>
        <w:ind w:left="584" w:hanging="584"/>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997452"/>
    <w:multiLevelType w:val="multilevel"/>
    <w:tmpl w:val="06124B12"/>
    <w:lvl w:ilvl="0">
      <w:start w:val="1"/>
      <w:numFmt w:val="decimal"/>
      <w:lvlText w:val="%1."/>
      <w:lvlJc w:val="left"/>
      <w:pPr>
        <w:ind w:left="360" w:hanging="360"/>
      </w:pPr>
      <w:rPr>
        <w:rFonts w:hint="default"/>
        <w:b/>
        <w:color w:val="auto"/>
        <w:sz w:val="36"/>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CE1048C"/>
    <w:multiLevelType w:val="multilevel"/>
    <w:tmpl w:val="E1841ACC"/>
    <w:lvl w:ilvl="0">
      <w:start w:val="1"/>
      <w:numFmt w:val="decimal"/>
      <w:lvlText w:val="%1."/>
      <w:lvlJc w:val="left"/>
      <w:pPr>
        <w:ind w:left="360" w:hanging="360"/>
      </w:pPr>
      <w:rPr>
        <w:rFonts w:ascii="Times New Roman" w:hAnsi="Times New Roman" w:cs="Times New Roman" w:hint="default"/>
        <w:sz w:val="36"/>
      </w:rPr>
    </w:lvl>
    <w:lvl w:ilvl="1">
      <w:start w:val="1"/>
      <w:numFmt w:val="decimal"/>
      <w:lvlText w:val="%1.%2."/>
      <w:lvlJc w:val="left"/>
      <w:pPr>
        <w:ind w:left="519" w:hanging="377"/>
      </w:pPr>
      <w:rPr>
        <w:rFonts w:hint="default"/>
        <w:sz w:val="22"/>
      </w:rPr>
    </w:lvl>
    <w:lvl w:ilvl="2">
      <w:start w:val="1"/>
      <w:numFmt w:val="decimal"/>
      <w:lvlText w:val="%1.%2.%3."/>
      <w:lvlJc w:val="left"/>
      <w:pPr>
        <w:ind w:left="584" w:hanging="584"/>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6"/>
  </w:num>
  <w:num w:numId="4">
    <w:abstractNumId w:val="8"/>
  </w:num>
  <w:num w:numId="5">
    <w:abstractNumId w:val="3"/>
  </w:num>
  <w:num w:numId="6">
    <w:abstractNumId w:val="17"/>
  </w:num>
  <w:num w:numId="7">
    <w:abstractNumId w:val="1"/>
  </w:num>
  <w:num w:numId="8">
    <w:abstractNumId w:val="18"/>
  </w:num>
  <w:num w:numId="9">
    <w:abstractNumId w:val="5"/>
  </w:num>
  <w:num w:numId="10">
    <w:abstractNumId w:val="13"/>
  </w:num>
  <w:num w:numId="11">
    <w:abstractNumId w:val="16"/>
  </w:num>
  <w:num w:numId="12">
    <w:abstractNumId w:val="10"/>
  </w:num>
  <w:num w:numId="13">
    <w:abstractNumId w:val="15"/>
  </w:num>
  <w:num w:numId="14">
    <w:abstractNumId w:val="2"/>
  </w:num>
  <w:num w:numId="15">
    <w:abstractNumId w:val="11"/>
  </w:num>
  <w:num w:numId="16">
    <w:abstractNumId w:val="0"/>
  </w:num>
  <w:num w:numId="17">
    <w:abstractNumId w:val="4"/>
  </w:num>
  <w:num w:numId="18">
    <w:abstractNumId w:val="9"/>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2B"/>
    <w:rsid w:val="00021871"/>
    <w:rsid w:val="00024579"/>
    <w:rsid w:val="0002462A"/>
    <w:rsid w:val="00024D66"/>
    <w:rsid w:val="00032971"/>
    <w:rsid w:val="00050AD8"/>
    <w:rsid w:val="000550A9"/>
    <w:rsid w:val="00063E80"/>
    <w:rsid w:val="000A1E4A"/>
    <w:rsid w:val="000C366A"/>
    <w:rsid w:val="000C6097"/>
    <w:rsid w:val="000C6234"/>
    <w:rsid w:val="000D1FD9"/>
    <w:rsid w:val="000E1C01"/>
    <w:rsid w:val="00105BAE"/>
    <w:rsid w:val="00107F62"/>
    <w:rsid w:val="00110A42"/>
    <w:rsid w:val="00113331"/>
    <w:rsid w:val="0011475C"/>
    <w:rsid w:val="0011515D"/>
    <w:rsid w:val="00116382"/>
    <w:rsid w:val="001266C7"/>
    <w:rsid w:val="00127627"/>
    <w:rsid w:val="00132799"/>
    <w:rsid w:val="00144D7D"/>
    <w:rsid w:val="0016290A"/>
    <w:rsid w:val="00165303"/>
    <w:rsid w:val="0016634E"/>
    <w:rsid w:val="00166936"/>
    <w:rsid w:val="0016741F"/>
    <w:rsid w:val="00182D9E"/>
    <w:rsid w:val="0019563F"/>
    <w:rsid w:val="001C206D"/>
    <w:rsid w:val="001E31B7"/>
    <w:rsid w:val="001E3E01"/>
    <w:rsid w:val="001E4B70"/>
    <w:rsid w:val="00200A40"/>
    <w:rsid w:val="00204E82"/>
    <w:rsid w:val="00207731"/>
    <w:rsid w:val="00207E3F"/>
    <w:rsid w:val="0021258D"/>
    <w:rsid w:val="0021436B"/>
    <w:rsid w:val="00217891"/>
    <w:rsid w:val="00224CD8"/>
    <w:rsid w:val="00241366"/>
    <w:rsid w:val="002469F4"/>
    <w:rsid w:val="00256922"/>
    <w:rsid w:val="002624E7"/>
    <w:rsid w:val="002755CF"/>
    <w:rsid w:val="00277318"/>
    <w:rsid w:val="00283F90"/>
    <w:rsid w:val="002A35C5"/>
    <w:rsid w:val="002A4AB1"/>
    <w:rsid w:val="002A6824"/>
    <w:rsid w:val="002B70BB"/>
    <w:rsid w:val="002C01F5"/>
    <w:rsid w:val="002C482A"/>
    <w:rsid w:val="002D685E"/>
    <w:rsid w:val="002E6DB3"/>
    <w:rsid w:val="002E7659"/>
    <w:rsid w:val="002F3E53"/>
    <w:rsid w:val="002F4519"/>
    <w:rsid w:val="002F4C53"/>
    <w:rsid w:val="00300D00"/>
    <w:rsid w:val="003049F5"/>
    <w:rsid w:val="003121F2"/>
    <w:rsid w:val="0031384A"/>
    <w:rsid w:val="003346C9"/>
    <w:rsid w:val="003374BB"/>
    <w:rsid w:val="003420BF"/>
    <w:rsid w:val="0034340D"/>
    <w:rsid w:val="00354D57"/>
    <w:rsid w:val="003571A3"/>
    <w:rsid w:val="00357B4A"/>
    <w:rsid w:val="003714DF"/>
    <w:rsid w:val="003748EE"/>
    <w:rsid w:val="00376F7A"/>
    <w:rsid w:val="003843DA"/>
    <w:rsid w:val="00384D97"/>
    <w:rsid w:val="0039094D"/>
    <w:rsid w:val="00391582"/>
    <w:rsid w:val="003943B1"/>
    <w:rsid w:val="003C67C0"/>
    <w:rsid w:val="003C788D"/>
    <w:rsid w:val="003E4CF5"/>
    <w:rsid w:val="003F6730"/>
    <w:rsid w:val="003F770C"/>
    <w:rsid w:val="00404876"/>
    <w:rsid w:val="00404C80"/>
    <w:rsid w:val="00410832"/>
    <w:rsid w:val="0042551F"/>
    <w:rsid w:val="00446078"/>
    <w:rsid w:val="0045062F"/>
    <w:rsid w:val="00464CB0"/>
    <w:rsid w:val="00465270"/>
    <w:rsid w:val="0047065D"/>
    <w:rsid w:val="00472CC6"/>
    <w:rsid w:val="004769C8"/>
    <w:rsid w:val="00480485"/>
    <w:rsid w:val="0048124A"/>
    <w:rsid w:val="00494EF9"/>
    <w:rsid w:val="004C0210"/>
    <w:rsid w:val="004C6FF2"/>
    <w:rsid w:val="004D66D8"/>
    <w:rsid w:val="004D7874"/>
    <w:rsid w:val="00502429"/>
    <w:rsid w:val="00505E7F"/>
    <w:rsid w:val="00507008"/>
    <w:rsid w:val="00510B8C"/>
    <w:rsid w:val="00515001"/>
    <w:rsid w:val="005172D0"/>
    <w:rsid w:val="0052740D"/>
    <w:rsid w:val="00534139"/>
    <w:rsid w:val="00545327"/>
    <w:rsid w:val="00552AA3"/>
    <w:rsid w:val="00573BBF"/>
    <w:rsid w:val="0058020F"/>
    <w:rsid w:val="00586590"/>
    <w:rsid w:val="005925FB"/>
    <w:rsid w:val="005A0FA6"/>
    <w:rsid w:val="005A5108"/>
    <w:rsid w:val="005B6646"/>
    <w:rsid w:val="005D785F"/>
    <w:rsid w:val="005E00A4"/>
    <w:rsid w:val="005E7BEF"/>
    <w:rsid w:val="005F46EF"/>
    <w:rsid w:val="00606AA2"/>
    <w:rsid w:val="00614F48"/>
    <w:rsid w:val="00621191"/>
    <w:rsid w:val="00623712"/>
    <w:rsid w:val="0062619E"/>
    <w:rsid w:val="00630F8F"/>
    <w:rsid w:val="00635672"/>
    <w:rsid w:val="0064272C"/>
    <w:rsid w:val="00642B18"/>
    <w:rsid w:val="006461FD"/>
    <w:rsid w:val="0064671E"/>
    <w:rsid w:val="00697AB8"/>
    <w:rsid w:val="006A119F"/>
    <w:rsid w:val="006A5E7B"/>
    <w:rsid w:val="006B0882"/>
    <w:rsid w:val="006B6E63"/>
    <w:rsid w:val="006D1602"/>
    <w:rsid w:val="006D59BA"/>
    <w:rsid w:val="007159AB"/>
    <w:rsid w:val="00721240"/>
    <w:rsid w:val="007240A1"/>
    <w:rsid w:val="00724C2B"/>
    <w:rsid w:val="0073741F"/>
    <w:rsid w:val="00743C77"/>
    <w:rsid w:val="00763956"/>
    <w:rsid w:val="0079273A"/>
    <w:rsid w:val="007A0E7E"/>
    <w:rsid w:val="007A1CE9"/>
    <w:rsid w:val="007D52DB"/>
    <w:rsid w:val="007D57CE"/>
    <w:rsid w:val="007E366C"/>
    <w:rsid w:val="0080199C"/>
    <w:rsid w:val="0080573B"/>
    <w:rsid w:val="008100F6"/>
    <w:rsid w:val="00817A1A"/>
    <w:rsid w:val="00827D43"/>
    <w:rsid w:val="00864A28"/>
    <w:rsid w:val="00882801"/>
    <w:rsid w:val="0088465B"/>
    <w:rsid w:val="00885C13"/>
    <w:rsid w:val="008938B5"/>
    <w:rsid w:val="00897ADA"/>
    <w:rsid w:val="008A1A53"/>
    <w:rsid w:val="008B0B4E"/>
    <w:rsid w:val="008C5416"/>
    <w:rsid w:val="008D3CA4"/>
    <w:rsid w:val="008D5DF7"/>
    <w:rsid w:val="008D7C87"/>
    <w:rsid w:val="008E31D1"/>
    <w:rsid w:val="008F57F2"/>
    <w:rsid w:val="008F59A0"/>
    <w:rsid w:val="009048AC"/>
    <w:rsid w:val="00907E38"/>
    <w:rsid w:val="009124AA"/>
    <w:rsid w:val="00926708"/>
    <w:rsid w:val="00933193"/>
    <w:rsid w:val="00942A26"/>
    <w:rsid w:val="009430F4"/>
    <w:rsid w:val="009548C2"/>
    <w:rsid w:val="00956C35"/>
    <w:rsid w:val="00974700"/>
    <w:rsid w:val="00977C92"/>
    <w:rsid w:val="00986CD2"/>
    <w:rsid w:val="0098796D"/>
    <w:rsid w:val="0099310A"/>
    <w:rsid w:val="009A2F4C"/>
    <w:rsid w:val="009B1C39"/>
    <w:rsid w:val="009B4B6C"/>
    <w:rsid w:val="009C262E"/>
    <w:rsid w:val="009C7B4C"/>
    <w:rsid w:val="009D078F"/>
    <w:rsid w:val="009E6200"/>
    <w:rsid w:val="009F2DE0"/>
    <w:rsid w:val="009F3A21"/>
    <w:rsid w:val="00A026E3"/>
    <w:rsid w:val="00A07ED2"/>
    <w:rsid w:val="00A13E31"/>
    <w:rsid w:val="00A14DA3"/>
    <w:rsid w:val="00A21F4A"/>
    <w:rsid w:val="00A244E6"/>
    <w:rsid w:val="00A26854"/>
    <w:rsid w:val="00A30EB3"/>
    <w:rsid w:val="00A34083"/>
    <w:rsid w:val="00A46F8D"/>
    <w:rsid w:val="00A61BF4"/>
    <w:rsid w:val="00A63B35"/>
    <w:rsid w:val="00AA1CD8"/>
    <w:rsid w:val="00AE23E2"/>
    <w:rsid w:val="00AE4B2B"/>
    <w:rsid w:val="00AE7EAF"/>
    <w:rsid w:val="00AF3BB5"/>
    <w:rsid w:val="00AF5FBD"/>
    <w:rsid w:val="00B0342D"/>
    <w:rsid w:val="00B06DCE"/>
    <w:rsid w:val="00B105E1"/>
    <w:rsid w:val="00B1451A"/>
    <w:rsid w:val="00B17144"/>
    <w:rsid w:val="00B53041"/>
    <w:rsid w:val="00B55702"/>
    <w:rsid w:val="00B638DE"/>
    <w:rsid w:val="00B7614E"/>
    <w:rsid w:val="00B86FF1"/>
    <w:rsid w:val="00B939FB"/>
    <w:rsid w:val="00B97EF6"/>
    <w:rsid w:val="00BA1440"/>
    <w:rsid w:val="00BA37F8"/>
    <w:rsid w:val="00BB5C19"/>
    <w:rsid w:val="00BC54EB"/>
    <w:rsid w:val="00BC74EF"/>
    <w:rsid w:val="00BD017D"/>
    <w:rsid w:val="00BD4FA3"/>
    <w:rsid w:val="00BE543B"/>
    <w:rsid w:val="00BE66BF"/>
    <w:rsid w:val="00BF1167"/>
    <w:rsid w:val="00C136AB"/>
    <w:rsid w:val="00C16DC3"/>
    <w:rsid w:val="00C2469D"/>
    <w:rsid w:val="00C25748"/>
    <w:rsid w:val="00C334C7"/>
    <w:rsid w:val="00C34DE5"/>
    <w:rsid w:val="00C50140"/>
    <w:rsid w:val="00C50B33"/>
    <w:rsid w:val="00C514E6"/>
    <w:rsid w:val="00C5758E"/>
    <w:rsid w:val="00C66100"/>
    <w:rsid w:val="00C83534"/>
    <w:rsid w:val="00C84AD9"/>
    <w:rsid w:val="00C963AB"/>
    <w:rsid w:val="00CA2EDF"/>
    <w:rsid w:val="00CA7321"/>
    <w:rsid w:val="00CB168F"/>
    <w:rsid w:val="00CB68A2"/>
    <w:rsid w:val="00CB722A"/>
    <w:rsid w:val="00CC13CF"/>
    <w:rsid w:val="00CC27E1"/>
    <w:rsid w:val="00CC3403"/>
    <w:rsid w:val="00CC7D9B"/>
    <w:rsid w:val="00CD11E0"/>
    <w:rsid w:val="00CF32C3"/>
    <w:rsid w:val="00CF53D1"/>
    <w:rsid w:val="00D0489A"/>
    <w:rsid w:val="00D05333"/>
    <w:rsid w:val="00D054A3"/>
    <w:rsid w:val="00D31FBF"/>
    <w:rsid w:val="00D403A3"/>
    <w:rsid w:val="00D4755D"/>
    <w:rsid w:val="00D67E39"/>
    <w:rsid w:val="00D729AA"/>
    <w:rsid w:val="00D80555"/>
    <w:rsid w:val="00D952A3"/>
    <w:rsid w:val="00DA39F6"/>
    <w:rsid w:val="00DA6633"/>
    <w:rsid w:val="00DB604B"/>
    <w:rsid w:val="00DC3DBB"/>
    <w:rsid w:val="00DC4FF2"/>
    <w:rsid w:val="00DD6BD2"/>
    <w:rsid w:val="00DE5831"/>
    <w:rsid w:val="00DF2898"/>
    <w:rsid w:val="00DF4DA1"/>
    <w:rsid w:val="00DF5D42"/>
    <w:rsid w:val="00E16DF9"/>
    <w:rsid w:val="00E27253"/>
    <w:rsid w:val="00E27471"/>
    <w:rsid w:val="00E42FDC"/>
    <w:rsid w:val="00E5371B"/>
    <w:rsid w:val="00E5716E"/>
    <w:rsid w:val="00E80A16"/>
    <w:rsid w:val="00E82C9E"/>
    <w:rsid w:val="00E83CAC"/>
    <w:rsid w:val="00E85864"/>
    <w:rsid w:val="00E85A34"/>
    <w:rsid w:val="00E911C4"/>
    <w:rsid w:val="00EA44DC"/>
    <w:rsid w:val="00EA517E"/>
    <w:rsid w:val="00EB3D7D"/>
    <w:rsid w:val="00EB7AA5"/>
    <w:rsid w:val="00EC0B10"/>
    <w:rsid w:val="00EF07BC"/>
    <w:rsid w:val="00EF5F25"/>
    <w:rsid w:val="00F11162"/>
    <w:rsid w:val="00F23B4A"/>
    <w:rsid w:val="00F31571"/>
    <w:rsid w:val="00F3365D"/>
    <w:rsid w:val="00F35F50"/>
    <w:rsid w:val="00F463E4"/>
    <w:rsid w:val="00F57950"/>
    <w:rsid w:val="00F64465"/>
    <w:rsid w:val="00F821D2"/>
    <w:rsid w:val="00F9414D"/>
    <w:rsid w:val="00F9737F"/>
    <w:rsid w:val="00FA2403"/>
    <w:rsid w:val="00FB6481"/>
    <w:rsid w:val="00FC76C4"/>
    <w:rsid w:val="00FE28A9"/>
    <w:rsid w:val="00FE4241"/>
    <w:rsid w:val="00FF6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F7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85A34"/>
    <w:pPr>
      <w:tabs>
        <w:tab w:val="left" w:pos="1304"/>
        <w:tab w:val="left" w:pos="2608"/>
        <w:tab w:val="left" w:pos="3912"/>
        <w:tab w:val="left" w:pos="5216"/>
        <w:tab w:val="left" w:pos="6521"/>
        <w:tab w:val="left" w:pos="7825"/>
      </w:tabs>
      <w:spacing w:after="0" w:line="240" w:lineRule="auto"/>
    </w:pPr>
    <w:rPr>
      <w:sz w:val="18"/>
      <w:lang w:val="en-GB"/>
    </w:rPr>
  </w:style>
  <w:style w:type="paragraph" w:styleId="Otsikko1">
    <w:name w:val="heading 1"/>
    <w:basedOn w:val="Normaali"/>
    <w:next w:val="Leipteksti"/>
    <w:link w:val="Otsikko1Char"/>
    <w:uiPriority w:val="9"/>
    <w:qFormat/>
    <w:rsid w:val="000C366A"/>
    <w:pPr>
      <w:keepNext/>
      <w:keepLines/>
      <w:outlineLvl w:val="0"/>
    </w:pPr>
    <w:rPr>
      <w:rFonts w:asciiTheme="majorHAnsi" w:eastAsiaTheme="majorEastAsia" w:hAnsiTheme="majorHAnsi" w:cstheme="majorBidi"/>
      <w:bCs/>
      <w:sz w:val="24"/>
      <w:szCs w:val="28"/>
    </w:rPr>
  </w:style>
  <w:style w:type="paragraph" w:styleId="Otsikko2">
    <w:name w:val="heading 2"/>
    <w:basedOn w:val="Otsikko1"/>
    <w:next w:val="Leipteksti"/>
    <w:link w:val="Otsikko2Char"/>
    <w:uiPriority w:val="9"/>
    <w:unhideWhenUsed/>
    <w:qFormat/>
    <w:rsid w:val="003943B1"/>
    <w:pPr>
      <w:spacing w:after="200"/>
      <w:outlineLvl w:val="1"/>
    </w:pPr>
    <w:rPr>
      <w:bCs w:val="0"/>
      <w:szCs w:val="26"/>
    </w:rPr>
  </w:style>
  <w:style w:type="paragraph" w:styleId="Otsikko3">
    <w:name w:val="heading 3"/>
    <w:basedOn w:val="Normaali"/>
    <w:next w:val="Normaali"/>
    <w:link w:val="Otsikko3Char"/>
    <w:uiPriority w:val="9"/>
    <w:unhideWhenUsed/>
    <w:qFormat/>
    <w:rsid w:val="00063E80"/>
    <w:pPr>
      <w:keepNext/>
      <w:keepLines/>
      <w:ind w:left="1304"/>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semiHidden/>
    <w:unhideWhenUsed/>
    <w:rsid w:val="0021436B"/>
    <w:pPr>
      <w:keepNext/>
      <w:keepLines/>
      <w:spacing w:before="40"/>
      <w:outlineLvl w:val="3"/>
    </w:pPr>
    <w:rPr>
      <w:rFonts w:asciiTheme="majorHAnsi" w:eastAsiaTheme="majorEastAsia" w:hAnsiTheme="majorHAnsi"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817A1A"/>
    <w:pPr>
      <w:spacing w:after="0" w:line="240" w:lineRule="auto"/>
    </w:pPr>
    <w:rPr>
      <w:sz w:val="18"/>
      <w:lang w:val="en-GB"/>
    </w:rPr>
  </w:style>
  <w:style w:type="character" w:customStyle="1" w:styleId="YltunnisteChar">
    <w:name w:val="Ylätunniste Char"/>
    <w:basedOn w:val="Kappaleenoletusfontti"/>
    <w:link w:val="Yltunniste"/>
    <w:uiPriority w:val="99"/>
    <w:rsid w:val="00817A1A"/>
    <w:rPr>
      <w:sz w:val="18"/>
      <w:lang w:val="en-GB"/>
    </w:rPr>
  </w:style>
  <w:style w:type="paragraph" w:styleId="Alatunniste">
    <w:name w:val="footer"/>
    <w:link w:val="AlatunnisteChar"/>
    <w:unhideWhenUsed/>
    <w:rsid w:val="006D59BA"/>
    <w:pPr>
      <w:spacing w:after="0" w:line="240" w:lineRule="auto"/>
    </w:pPr>
    <w:rPr>
      <w:sz w:val="16"/>
      <w:lang w:val="en-GB"/>
    </w:rPr>
  </w:style>
  <w:style w:type="character" w:customStyle="1" w:styleId="AlatunnisteChar">
    <w:name w:val="Alatunniste Char"/>
    <w:basedOn w:val="Kappaleenoletusfontti"/>
    <w:link w:val="Alatunniste"/>
    <w:rsid w:val="006D59BA"/>
    <w:rPr>
      <w:sz w:val="16"/>
      <w:lang w:val="en-GB"/>
    </w:rPr>
  </w:style>
  <w:style w:type="paragraph" w:styleId="Seliteteksti">
    <w:name w:val="Balloon Text"/>
    <w:basedOn w:val="Normaali"/>
    <w:link w:val="SelitetekstiChar"/>
    <w:uiPriority w:val="99"/>
    <w:semiHidden/>
    <w:unhideWhenUsed/>
    <w:rsid w:val="003F770C"/>
    <w:rPr>
      <w:rFonts w:ascii="Tahoma" w:hAnsi="Tahoma" w:cs="Tahoma"/>
      <w:szCs w:val="16"/>
    </w:rPr>
  </w:style>
  <w:style w:type="character" w:customStyle="1" w:styleId="SelitetekstiChar">
    <w:name w:val="Seliteteksti Char"/>
    <w:basedOn w:val="Kappaleenoletusfontti"/>
    <w:link w:val="Seliteteksti"/>
    <w:uiPriority w:val="99"/>
    <w:semiHidden/>
    <w:rsid w:val="003F770C"/>
    <w:rPr>
      <w:rFonts w:ascii="Tahoma" w:hAnsi="Tahoma" w:cs="Tahoma"/>
      <w:sz w:val="16"/>
      <w:szCs w:val="16"/>
    </w:rPr>
  </w:style>
  <w:style w:type="paragraph" w:customStyle="1" w:styleId="DateandRecipient">
    <w:name w:val="Date and Recipient"/>
    <w:basedOn w:val="Normaali"/>
    <w:rsid w:val="007A0E7E"/>
    <w:rPr>
      <w:rFonts w:eastAsiaTheme="minorEastAsia"/>
      <w:b/>
      <w:caps/>
      <w:color w:val="3C0EC7"/>
      <w:szCs w:val="20"/>
      <w:lang w:eastAsia="fi-FI"/>
    </w:rPr>
  </w:style>
  <w:style w:type="paragraph" w:styleId="Leipteksti">
    <w:name w:val="Body Text"/>
    <w:basedOn w:val="Normaali"/>
    <w:link w:val="LeiptekstiChar"/>
    <w:uiPriority w:val="99"/>
    <w:qFormat/>
    <w:rsid w:val="00E85A34"/>
    <w:pPr>
      <w:ind w:left="1304"/>
    </w:pPr>
  </w:style>
  <w:style w:type="character" w:customStyle="1" w:styleId="LeiptekstiChar">
    <w:name w:val="Leipäteksti Char"/>
    <w:basedOn w:val="Kappaleenoletusfontti"/>
    <w:link w:val="Leipteksti"/>
    <w:uiPriority w:val="99"/>
    <w:rsid w:val="00E85A34"/>
    <w:rPr>
      <w:sz w:val="18"/>
      <w:lang w:val="en-GB"/>
    </w:rPr>
  </w:style>
  <w:style w:type="character" w:styleId="Paikkamerkkiteksti">
    <w:name w:val="Placeholder Text"/>
    <w:basedOn w:val="Kappaleenoletusfontti"/>
    <w:uiPriority w:val="99"/>
    <w:semiHidden/>
    <w:rsid w:val="007A0E7E"/>
    <w:rPr>
      <w:color w:val="808080"/>
    </w:rPr>
  </w:style>
  <w:style w:type="character" w:customStyle="1" w:styleId="Otsikko1Char">
    <w:name w:val="Otsikko 1 Char"/>
    <w:basedOn w:val="Kappaleenoletusfontti"/>
    <w:link w:val="Otsikko1"/>
    <w:uiPriority w:val="9"/>
    <w:rsid w:val="000C366A"/>
    <w:rPr>
      <w:rFonts w:asciiTheme="majorHAnsi" w:eastAsiaTheme="majorEastAsia" w:hAnsiTheme="majorHAnsi" w:cstheme="majorBidi"/>
      <w:bCs/>
      <w:sz w:val="24"/>
      <w:szCs w:val="28"/>
      <w:lang w:val="fi-FI"/>
    </w:rPr>
  </w:style>
  <w:style w:type="character" w:customStyle="1" w:styleId="Otsikko2Char">
    <w:name w:val="Otsikko 2 Char"/>
    <w:basedOn w:val="Kappaleenoletusfontti"/>
    <w:link w:val="Otsikko2"/>
    <w:uiPriority w:val="9"/>
    <w:rsid w:val="003943B1"/>
    <w:rPr>
      <w:rFonts w:asciiTheme="majorHAnsi" w:eastAsiaTheme="majorEastAsia" w:hAnsiTheme="majorHAnsi" w:cstheme="majorBidi"/>
      <w:sz w:val="24"/>
      <w:szCs w:val="26"/>
      <w:lang w:val="en-GB"/>
    </w:rPr>
  </w:style>
  <w:style w:type="table" w:styleId="TaulukkoRuudukko">
    <w:name w:val="Table Grid"/>
    <w:basedOn w:val="Normaalitaulukko"/>
    <w:uiPriority w:val="59"/>
    <w:rsid w:val="00C5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063E80"/>
    <w:rPr>
      <w:rFonts w:asciiTheme="majorHAnsi" w:eastAsiaTheme="majorEastAsia" w:hAnsiTheme="majorHAnsi" w:cstheme="majorBidi"/>
      <w:b/>
      <w:bCs/>
      <w:sz w:val="18"/>
      <w:lang w:val="fi-FI"/>
    </w:rPr>
  </w:style>
  <w:style w:type="paragraph" w:styleId="Luettelokappale">
    <w:name w:val="List Paragraph"/>
    <w:aliases w:val="1st level - Bullet List Paragraph,Lettre d'introduction,Paragrafo elenco,List Paragraph1,Medium Grid 1 - Accent 21,FooterText,Paragraphe de liste1,Heading 2_sj,Numbered Para 1,Dot pt,No Spacing1,List Paragraph Char Char Char,Bullet 1,Ha"/>
    <w:basedOn w:val="Normaali"/>
    <w:link w:val="LuettelokappaleChar"/>
    <w:uiPriority w:val="34"/>
    <w:qFormat/>
    <w:rsid w:val="00024D66"/>
    <w:pPr>
      <w:numPr>
        <w:numId w:val="1"/>
      </w:numPr>
      <w:spacing w:line="312" w:lineRule="auto"/>
      <w:ind w:left="1661" w:hanging="357"/>
      <w:contextualSpacing/>
    </w:pPr>
  </w:style>
  <w:style w:type="character" w:customStyle="1" w:styleId="Otsikko4Char">
    <w:name w:val="Otsikko 4 Char"/>
    <w:basedOn w:val="Kappaleenoletusfontti"/>
    <w:link w:val="Otsikko4"/>
    <w:uiPriority w:val="9"/>
    <w:semiHidden/>
    <w:rsid w:val="0021436B"/>
    <w:rPr>
      <w:rFonts w:asciiTheme="majorHAnsi" w:eastAsiaTheme="majorEastAsia" w:hAnsiTheme="majorHAnsi" w:cstheme="majorBidi"/>
      <w:i/>
      <w:iCs/>
      <w:sz w:val="18"/>
      <w:lang w:val="en-GB"/>
    </w:rPr>
  </w:style>
  <w:style w:type="paragraph" w:customStyle="1" w:styleId="Osoitetiedot">
    <w:name w:val="Osoitetiedot"/>
    <w:basedOn w:val="Normaali"/>
    <w:qFormat/>
    <w:rsid w:val="006B6E63"/>
    <w:pPr>
      <w:tabs>
        <w:tab w:val="clear" w:pos="1304"/>
        <w:tab w:val="clear" w:pos="2608"/>
        <w:tab w:val="clear" w:pos="3912"/>
        <w:tab w:val="clear" w:pos="5216"/>
        <w:tab w:val="clear" w:pos="6521"/>
        <w:tab w:val="clear" w:pos="7825"/>
      </w:tabs>
    </w:pPr>
    <w:rPr>
      <w:rFonts w:ascii="Calibri" w:eastAsia="Times New Roman" w:hAnsi="Calibri" w:cs="Times New Roman"/>
      <w:sz w:val="22"/>
      <w:szCs w:val="24"/>
      <w:lang w:val="fi-FI"/>
    </w:rPr>
  </w:style>
  <w:style w:type="paragraph" w:styleId="NormaaliWWW">
    <w:name w:val="Normal (Web)"/>
    <w:basedOn w:val="Normaali"/>
    <w:uiPriority w:val="99"/>
    <w:unhideWhenUsed/>
    <w:rsid w:val="00515001"/>
    <w:pPr>
      <w:tabs>
        <w:tab w:val="clear" w:pos="1304"/>
        <w:tab w:val="clear" w:pos="2608"/>
        <w:tab w:val="clear" w:pos="3912"/>
        <w:tab w:val="clear" w:pos="5216"/>
        <w:tab w:val="clear" w:pos="6521"/>
        <w:tab w:val="clear" w:pos="7825"/>
      </w:tabs>
      <w:spacing w:before="100" w:beforeAutospacing="1" w:after="100" w:afterAutospacing="1"/>
    </w:pPr>
    <w:rPr>
      <w:rFonts w:ascii="Times New Roman" w:eastAsia="Times New Roman" w:hAnsi="Times New Roman" w:cs="Times New Roman"/>
      <w:sz w:val="24"/>
      <w:szCs w:val="24"/>
    </w:rPr>
  </w:style>
  <w:style w:type="character" w:styleId="Kommentinviite">
    <w:name w:val="annotation reference"/>
    <w:basedOn w:val="Kappaleenoletusfontti"/>
    <w:unhideWhenUsed/>
    <w:rsid w:val="00515001"/>
    <w:rPr>
      <w:sz w:val="16"/>
      <w:szCs w:val="16"/>
    </w:rPr>
  </w:style>
  <w:style w:type="paragraph" w:styleId="Kommentinteksti">
    <w:name w:val="annotation text"/>
    <w:basedOn w:val="Normaali"/>
    <w:link w:val="KommentintekstiChar"/>
    <w:unhideWhenUsed/>
    <w:rsid w:val="00515001"/>
    <w:pPr>
      <w:tabs>
        <w:tab w:val="clear" w:pos="1304"/>
        <w:tab w:val="clear" w:pos="2608"/>
        <w:tab w:val="clear" w:pos="3912"/>
        <w:tab w:val="clear" w:pos="5216"/>
        <w:tab w:val="clear" w:pos="6521"/>
        <w:tab w:val="clear" w:pos="7825"/>
      </w:tabs>
      <w:spacing w:after="160"/>
    </w:pPr>
    <w:rPr>
      <w:rFonts w:cstheme="minorBidi"/>
      <w:sz w:val="20"/>
      <w:szCs w:val="20"/>
    </w:rPr>
  </w:style>
  <w:style w:type="character" w:customStyle="1" w:styleId="KommentintekstiChar">
    <w:name w:val="Kommentin teksti Char"/>
    <w:basedOn w:val="Kappaleenoletusfontti"/>
    <w:link w:val="Kommentinteksti"/>
    <w:rsid w:val="00515001"/>
    <w:rPr>
      <w:rFonts w:cstheme="minorBidi"/>
      <w:sz w:val="20"/>
      <w:szCs w:val="20"/>
      <w:lang w:val="en-GB"/>
    </w:rPr>
  </w:style>
  <w:style w:type="character" w:styleId="Hyperlinkki">
    <w:name w:val="Hyperlink"/>
    <w:basedOn w:val="Kappaleenoletusfontti"/>
    <w:uiPriority w:val="99"/>
    <w:unhideWhenUsed/>
    <w:rsid w:val="00515001"/>
    <w:rPr>
      <w:color w:val="7391F5" w:themeColor="hyperlink"/>
      <w:u w:val="single"/>
    </w:rPr>
  </w:style>
  <w:style w:type="paragraph" w:customStyle="1" w:styleId="Default">
    <w:name w:val="Default"/>
    <w:rsid w:val="00515001"/>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character" w:customStyle="1" w:styleId="LuettelokappaleChar">
    <w:name w:val="Luettelokappale Char"/>
    <w:aliases w:val="1st level - Bullet List Paragraph Char,Lettre d'introduction Char,Paragrafo elenco Char,List Paragraph1 Char,Medium Grid 1 - Accent 21 Char,FooterText Char,Paragraphe de liste1 Char,Heading 2_sj Char,Numbered Para 1 Char,Dot pt Char"/>
    <w:link w:val="Luettelokappale"/>
    <w:uiPriority w:val="34"/>
    <w:qFormat/>
    <w:locked/>
    <w:rsid w:val="00515001"/>
    <w:rPr>
      <w:sz w:val="18"/>
      <w:lang w:val="en-GB"/>
    </w:rPr>
  </w:style>
  <w:style w:type="paragraph" w:styleId="Kuvaotsikko">
    <w:name w:val="caption"/>
    <w:aliases w:val="Number"/>
    <w:basedOn w:val="Normaali"/>
    <w:uiPriority w:val="35"/>
    <w:qFormat/>
    <w:rsid w:val="00515001"/>
    <w:pPr>
      <w:suppressLineNumbers/>
      <w:tabs>
        <w:tab w:val="clear" w:pos="1304"/>
        <w:tab w:val="clear" w:pos="2608"/>
        <w:tab w:val="clear" w:pos="3912"/>
        <w:tab w:val="clear" w:pos="5216"/>
        <w:tab w:val="clear" w:pos="6521"/>
        <w:tab w:val="clear" w:pos="7825"/>
      </w:tabs>
      <w:suppressAutoHyphens/>
      <w:spacing w:before="120" w:after="120"/>
    </w:pPr>
    <w:rPr>
      <w:rFonts w:ascii="Times New Roman" w:eastAsia="Times New Roman" w:hAnsi="Times New Roman" w:cs="Tahoma"/>
      <w:i/>
      <w:iCs/>
      <w:sz w:val="24"/>
      <w:szCs w:val="24"/>
      <w:lang w:val="et-EE" w:eastAsia="ar-SA"/>
    </w:rPr>
  </w:style>
  <w:style w:type="paragraph" w:styleId="Eivli">
    <w:name w:val="No Spacing"/>
    <w:uiPriority w:val="1"/>
    <w:qFormat/>
    <w:rsid w:val="00515001"/>
    <w:pPr>
      <w:spacing w:after="0" w:line="240" w:lineRule="auto"/>
    </w:pPr>
    <w:rPr>
      <w:rFonts w:cstheme="minorBidi"/>
    </w:rPr>
  </w:style>
  <w:style w:type="paragraph" w:customStyle="1" w:styleId="Normal1">
    <w:name w:val="Normal1"/>
    <w:basedOn w:val="Normaali"/>
    <w:rsid w:val="008D3CA4"/>
    <w:pPr>
      <w:tabs>
        <w:tab w:val="clear" w:pos="1304"/>
        <w:tab w:val="clear" w:pos="2608"/>
        <w:tab w:val="clear" w:pos="3912"/>
        <w:tab w:val="clear" w:pos="5216"/>
        <w:tab w:val="clear" w:pos="6521"/>
        <w:tab w:val="clear" w:pos="7825"/>
      </w:tabs>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9504">
      <w:bodyDiv w:val="1"/>
      <w:marLeft w:val="0"/>
      <w:marRight w:val="0"/>
      <w:marTop w:val="0"/>
      <w:marBottom w:val="0"/>
      <w:divBdr>
        <w:top w:val="none" w:sz="0" w:space="0" w:color="auto"/>
        <w:left w:val="none" w:sz="0" w:space="0" w:color="auto"/>
        <w:bottom w:val="none" w:sz="0" w:space="0" w:color="auto"/>
        <w:right w:val="none" w:sz="0" w:space="0" w:color="auto"/>
      </w:divBdr>
    </w:div>
    <w:div w:id="370423709">
      <w:bodyDiv w:val="1"/>
      <w:marLeft w:val="0"/>
      <w:marRight w:val="0"/>
      <w:marTop w:val="0"/>
      <w:marBottom w:val="0"/>
      <w:divBdr>
        <w:top w:val="none" w:sz="0" w:space="0" w:color="auto"/>
        <w:left w:val="none" w:sz="0" w:space="0" w:color="auto"/>
        <w:bottom w:val="none" w:sz="0" w:space="0" w:color="auto"/>
        <w:right w:val="none" w:sz="0" w:space="0" w:color="auto"/>
      </w:divBdr>
    </w:div>
    <w:div w:id="1352950118">
      <w:bodyDiv w:val="1"/>
      <w:marLeft w:val="0"/>
      <w:marRight w:val="0"/>
      <w:marTop w:val="0"/>
      <w:marBottom w:val="0"/>
      <w:divBdr>
        <w:top w:val="none" w:sz="0" w:space="0" w:color="auto"/>
        <w:left w:val="none" w:sz="0" w:space="0" w:color="auto"/>
        <w:bottom w:val="none" w:sz="0" w:space="0" w:color="auto"/>
        <w:right w:val="none" w:sz="0" w:space="0" w:color="auto"/>
      </w:divBdr>
    </w:div>
    <w:div w:id="1544094931">
      <w:bodyDiv w:val="1"/>
      <w:marLeft w:val="0"/>
      <w:marRight w:val="0"/>
      <w:marTop w:val="0"/>
      <w:marBottom w:val="0"/>
      <w:divBdr>
        <w:top w:val="none" w:sz="0" w:space="0" w:color="auto"/>
        <w:left w:val="none" w:sz="0" w:space="0" w:color="auto"/>
        <w:bottom w:val="none" w:sz="0" w:space="0" w:color="auto"/>
        <w:right w:val="none" w:sz="0" w:space="0" w:color="auto"/>
      </w:divBdr>
    </w:div>
    <w:div w:id="1657342791">
      <w:bodyDiv w:val="1"/>
      <w:marLeft w:val="0"/>
      <w:marRight w:val="0"/>
      <w:marTop w:val="0"/>
      <w:marBottom w:val="0"/>
      <w:divBdr>
        <w:top w:val="none" w:sz="0" w:space="0" w:color="auto"/>
        <w:left w:val="none" w:sz="0" w:space="0" w:color="auto"/>
        <w:bottom w:val="none" w:sz="0" w:space="0" w:color="auto"/>
        <w:right w:val="none" w:sz="0" w:space="0" w:color="auto"/>
      </w:divBdr>
    </w:div>
    <w:div w:id="1835602637">
      <w:bodyDiv w:val="1"/>
      <w:marLeft w:val="0"/>
      <w:marRight w:val="0"/>
      <w:marTop w:val="0"/>
      <w:marBottom w:val="0"/>
      <w:divBdr>
        <w:top w:val="none" w:sz="0" w:space="0" w:color="auto"/>
        <w:left w:val="none" w:sz="0" w:space="0" w:color="auto"/>
        <w:bottom w:val="none" w:sz="0" w:space="0" w:color="auto"/>
        <w:right w:val="none" w:sz="0" w:space="0" w:color="auto"/>
      </w:divBdr>
    </w:div>
    <w:div w:id="19198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Gasum">
  <a:themeElements>
    <a:clrScheme name="Gasum2016">
      <a:dk1>
        <a:srgbClr val="000000"/>
      </a:dk1>
      <a:lt1>
        <a:sysClr val="window" lastClr="FFFFFF"/>
      </a:lt1>
      <a:dk2>
        <a:srgbClr val="6491F5"/>
      </a:dk2>
      <a:lt2>
        <a:srgbClr val="969696"/>
      </a:lt2>
      <a:accent1>
        <a:srgbClr val="6491F5"/>
      </a:accent1>
      <a:accent2>
        <a:srgbClr val="1D4F91"/>
      </a:accent2>
      <a:accent3>
        <a:srgbClr val="E5554F"/>
      </a:accent3>
      <a:accent4>
        <a:srgbClr val="A7C6ED"/>
      </a:accent4>
      <a:accent5>
        <a:srgbClr val="6BA539"/>
      </a:accent5>
      <a:accent6>
        <a:srgbClr val="A0DAB3"/>
      </a:accent6>
      <a:hlink>
        <a:srgbClr val="7391F5"/>
      </a:hlink>
      <a:folHlink>
        <a:srgbClr val="FF4678"/>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23BEDD-5848-410D-A3E8-8E440B13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2117</Words>
  <Characters>17151</Characters>
  <Application>Microsoft Office Word</Application>
  <DocSecurity>0</DocSecurity>
  <Lines>142</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2019-04-04T08:58:00Z</dcterms:created>
  <dcterms:modified xsi:type="dcterms:W3CDTF">2019-04-04T08:58:00Z</dcterms:modified>
</cp:coreProperties>
</file>